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40A3" w14:textId="77777777" w:rsidR="00A32BF9" w:rsidRPr="00A32BF9" w:rsidRDefault="00A32BF9" w:rsidP="00C947C7">
      <w:pPr>
        <w:jc w:val="center"/>
        <w:rPr>
          <w:b/>
          <w:bCs/>
          <w:sz w:val="18"/>
          <w:szCs w:val="18"/>
        </w:rPr>
      </w:pPr>
    </w:p>
    <w:p w14:paraId="2AD1A121" w14:textId="3FFFDED2" w:rsidR="00E26DFB" w:rsidRPr="00A32BF9" w:rsidRDefault="009862F4" w:rsidP="00C947C7">
      <w:pPr>
        <w:jc w:val="center"/>
        <w:rPr>
          <w:b/>
          <w:bCs/>
          <w:sz w:val="40"/>
          <w:szCs w:val="40"/>
        </w:rPr>
      </w:pPr>
      <w:r>
        <w:rPr>
          <w:b/>
          <w:bCs/>
          <w:sz w:val="40"/>
          <w:szCs w:val="40"/>
        </w:rPr>
        <w:t>Supportive Housing</w:t>
      </w:r>
    </w:p>
    <w:tbl>
      <w:tblPr>
        <w:tblStyle w:val="TableGrid"/>
        <w:tblW w:w="0" w:type="auto"/>
        <w:tblLook w:val="04A0" w:firstRow="1" w:lastRow="0" w:firstColumn="1" w:lastColumn="0" w:noHBand="0" w:noVBand="1"/>
      </w:tblPr>
      <w:tblGrid>
        <w:gridCol w:w="9350"/>
      </w:tblGrid>
      <w:tr w:rsidR="00A32BF9" w14:paraId="1639BEB1" w14:textId="77777777" w:rsidTr="00A32BF9">
        <w:tc>
          <w:tcPr>
            <w:tcW w:w="9350" w:type="dxa"/>
          </w:tcPr>
          <w:p w14:paraId="471F48D4" w14:textId="72F38431" w:rsidR="00A32BF9" w:rsidRDefault="009862F4">
            <w:r>
              <w:t>Recovery</w:t>
            </w:r>
            <w:r w:rsidR="00A32BF9">
              <w:t xml:space="preserve"> #</w:t>
            </w:r>
            <w:r>
              <w:t>1</w:t>
            </w:r>
            <w:r w:rsidR="00A32BF9">
              <w:t xml:space="preserve">: </w:t>
            </w:r>
            <w:r>
              <w:t>Increase availability of supportive housing for people with behavioral health conditions.</w:t>
            </w:r>
          </w:p>
        </w:tc>
      </w:tr>
    </w:tbl>
    <w:p w14:paraId="40553F54" w14:textId="77777777" w:rsidR="00014FDE" w:rsidRDefault="00014FDE"/>
    <w:tbl>
      <w:tblPr>
        <w:tblStyle w:val="TableGrid"/>
        <w:tblW w:w="0" w:type="auto"/>
        <w:tblLook w:val="04A0" w:firstRow="1" w:lastRow="0" w:firstColumn="1" w:lastColumn="0" w:noHBand="0" w:noVBand="1"/>
      </w:tblPr>
      <w:tblGrid>
        <w:gridCol w:w="715"/>
        <w:gridCol w:w="1350"/>
        <w:gridCol w:w="7285"/>
      </w:tblGrid>
      <w:tr w:rsidR="000E1262" w14:paraId="2BAC0FC7" w14:textId="77777777" w:rsidTr="00FB6BF5">
        <w:tc>
          <w:tcPr>
            <w:tcW w:w="9350" w:type="dxa"/>
            <w:gridSpan w:val="3"/>
            <w:shd w:val="clear" w:color="auto" w:fill="B3E5A1" w:themeFill="accent6" w:themeFillTint="66"/>
          </w:tcPr>
          <w:p w14:paraId="216B47BE"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8764C7" w14:paraId="0BD62386" w14:textId="77777777" w:rsidTr="008764C7">
        <w:tc>
          <w:tcPr>
            <w:tcW w:w="2065" w:type="dxa"/>
            <w:gridSpan w:val="2"/>
            <w:shd w:val="clear" w:color="auto" w:fill="B3E5A1" w:themeFill="accent6" w:themeFillTint="66"/>
          </w:tcPr>
          <w:p w14:paraId="7EB8CB3A" w14:textId="51E420B4" w:rsidR="008764C7" w:rsidRDefault="008764C7" w:rsidP="00FD46B8">
            <w:pPr>
              <w:rPr>
                <w:b/>
                <w:bCs/>
              </w:rPr>
            </w:pPr>
            <w:r>
              <w:rPr>
                <w:b/>
                <w:bCs/>
              </w:rPr>
              <w:t>Project Sponsors</w:t>
            </w:r>
          </w:p>
        </w:tc>
        <w:tc>
          <w:tcPr>
            <w:tcW w:w="7285" w:type="dxa"/>
          </w:tcPr>
          <w:p w14:paraId="12596DCE" w14:textId="127A6F02" w:rsidR="008764C7" w:rsidRDefault="008764C7" w:rsidP="00FD46B8">
            <w:r>
              <w:t>Bree Derrick, IDOC and Ross Edmunds, IDHW</w:t>
            </w:r>
          </w:p>
        </w:tc>
      </w:tr>
      <w:tr w:rsidR="00A32BF9" w14:paraId="34FA92CD" w14:textId="77777777" w:rsidTr="008764C7">
        <w:tc>
          <w:tcPr>
            <w:tcW w:w="2065" w:type="dxa"/>
            <w:gridSpan w:val="2"/>
            <w:shd w:val="clear" w:color="auto" w:fill="B3E5A1" w:themeFill="accent6" w:themeFillTint="66"/>
          </w:tcPr>
          <w:p w14:paraId="02E61146" w14:textId="77777777" w:rsidR="00A32BF9" w:rsidRDefault="00A32BF9" w:rsidP="00FD46B8">
            <w:pPr>
              <w:rPr>
                <w:b/>
                <w:bCs/>
              </w:rPr>
            </w:pPr>
            <w:r>
              <w:rPr>
                <w:b/>
                <w:bCs/>
              </w:rPr>
              <w:t>Team Chair(s)</w:t>
            </w:r>
          </w:p>
        </w:tc>
        <w:tc>
          <w:tcPr>
            <w:tcW w:w="7285" w:type="dxa"/>
          </w:tcPr>
          <w:p w14:paraId="4F3164F3" w14:textId="71A79AC2" w:rsidR="00A32BF9" w:rsidRDefault="009862F4" w:rsidP="00FD46B8">
            <w:pPr>
              <w:rPr>
                <w:b/>
                <w:bCs/>
              </w:rPr>
            </w:pPr>
            <w:r>
              <w:t>Beth Markley</w:t>
            </w:r>
          </w:p>
        </w:tc>
      </w:tr>
      <w:tr w:rsidR="00A32BF9" w14:paraId="42EA6239" w14:textId="77777777" w:rsidTr="008764C7">
        <w:tc>
          <w:tcPr>
            <w:tcW w:w="2065" w:type="dxa"/>
            <w:gridSpan w:val="2"/>
            <w:shd w:val="clear" w:color="auto" w:fill="B3E5A1" w:themeFill="accent6" w:themeFillTint="66"/>
          </w:tcPr>
          <w:p w14:paraId="0BDE88C2" w14:textId="77777777" w:rsidR="00A32BF9" w:rsidRDefault="00A32BF9" w:rsidP="00FD46B8">
            <w:pPr>
              <w:rPr>
                <w:b/>
                <w:bCs/>
              </w:rPr>
            </w:pPr>
            <w:r>
              <w:rPr>
                <w:b/>
                <w:bCs/>
              </w:rPr>
              <w:t>Team Reporter</w:t>
            </w:r>
          </w:p>
        </w:tc>
        <w:tc>
          <w:tcPr>
            <w:tcW w:w="7285" w:type="dxa"/>
          </w:tcPr>
          <w:p w14:paraId="73313C7C" w14:textId="2714A21D" w:rsidR="00A32BF9" w:rsidRPr="009862F4" w:rsidRDefault="009862F4" w:rsidP="00FD46B8">
            <w:r w:rsidRPr="009862F4">
              <w:t>Daina Drake</w:t>
            </w:r>
          </w:p>
        </w:tc>
      </w:tr>
      <w:tr w:rsidR="000E1262" w14:paraId="2CF963BF" w14:textId="77777777" w:rsidTr="000E1262">
        <w:tc>
          <w:tcPr>
            <w:tcW w:w="9350" w:type="dxa"/>
            <w:gridSpan w:val="3"/>
            <w:shd w:val="clear" w:color="auto" w:fill="B3E5A1" w:themeFill="accent6" w:themeFillTint="66"/>
          </w:tcPr>
          <w:p w14:paraId="135B347D" w14:textId="77777777" w:rsidR="000E1262" w:rsidRPr="000E1262" w:rsidRDefault="000E1262" w:rsidP="000E1262">
            <w:pPr>
              <w:jc w:val="center"/>
              <w:rPr>
                <w:b/>
                <w:bCs/>
              </w:rPr>
            </w:pPr>
            <w:r w:rsidRPr="000E1262">
              <w:rPr>
                <w:b/>
                <w:bCs/>
                <w:sz w:val="28"/>
                <w:szCs w:val="28"/>
              </w:rPr>
              <w:t>PURPOSE</w:t>
            </w:r>
          </w:p>
        </w:tc>
      </w:tr>
      <w:tr w:rsidR="000E1262" w14:paraId="6A084980" w14:textId="77777777" w:rsidTr="00690841">
        <w:tc>
          <w:tcPr>
            <w:tcW w:w="9350" w:type="dxa"/>
            <w:gridSpan w:val="3"/>
            <w:shd w:val="clear" w:color="auto" w:fill="auto"/>
          </w:tcPr>
          <w:p w14:paraId="76746309" w14:textId="5D81CD87" w:rsidR="000E1262" w:rsidRDefault="00807070" w:rsidP="00FD46B8">
            <w:r w:rsidRPr="00807070">
              <w:t>This group represents multiple perspectives that can develop solutions to meet multiple needs: reentry, recovery, homelessness/houselessness, and housing insecurity.</w:t>
            </w:r>
            <w:r w:rsidRPr="00807070">
              <w:br/>
            </w:r>
            <w:r w:rsidR="00F3304D" w:rsidRPr="00F3304D">
              <w:rPr>
                <w:b/>
                <w:bCs/>
              </w:rPr>
              <w:t>Mission</w:t>
            </w:r>
            <w:r w:rsidR="00F3304D">
              <w:t>:</w:t>
            </w:r>
            <w:r w:rsidRPr="00807070">
              <w:br/>
              <w:t>BHC Supportive Housing committee will outline objectives to improve supportive housing options for people with behavioral health challenges who might otherwise lack access to housing or be unable to live independently, leveraging resources from IDOC and IDHW and otherwise fostering interagency collaboration. Creating data-driven, scalable, supporting housing solutions to reduce strain on state systems, lower recidivism and promote cost containment within Idaho’s behavioral health system.</w:t>
            </w:r>
            <w:r w:rsidRPr="00807070">
              <w:br/>
            </w:r>
            <w:r w:rsidRPr="00F3304D">
              <w:rPr>
                <w:b/>
                <w:bCs/>
              </w:rPr>
              <w:t>Vision:</w:t>
            </w:r>
            <w:r w:rsidRPr="00807070">
              <w:br/>
              <w:t>Our focus is on those who might otherwise lack access to housing or be unable to live independently, leveraging resources from IDOC and IDHW and otherwise fostering interagency collaboration. Creating data-driven, scalable supportive housing solutions</w:t>
            </w:r>
          </w:p>
        </w:tc>
      </w:tr>
      <w:tr w:rsidR="000E1262" w14:paraId="4B491392" w14:textId="77777777" w:rsidTr="000E1262">
        <w:tc>
          <w:tcPr>
            <w:tcW w:w="9350" w:type="dxa"/>
            <w:gridSpan w:val="3"/>
            <w:shd w:val="clear" w:color="auto" w:fill="B3E5A1" w:themeFill="accent6" w:themeFillTint="66"/>
          </w:tcPr>
          <w:p w14:paraId="10C406E4" w14:textId="77777777" w:rsidR="000E1262" w:rsidRDefault="000E1262" w:rsidP="000E1262">
            <w:pPr>
              <w:jc w:val="center"/>
            </w:pPr>
            <w:r w:rsidRPr="000E1262">
              <w:rPr>
                <w:b/>
                <w:bCs/>
                <w:sz w:val="28"/>
                <w:szCs w:val="28"/>
              </w:rPr>
              <w:t>ACTION ITEMS TO ACCOMPLISH</w:t>
            </w:r>
          </w:p>
        </w:tc>
      </w:tr>
      <w:tr w:rsidR="000E1262" w14:paraId="6C6BCCCA" w14:textId="77777777" w:rsidTr="000E1262">
        <w:tc>
          <w:tcPr>
            <w:tcW w:w="715" w:type="dxa"/>
            <w:shd w:val="clear" w:color="auto" w:fill="B3E5A1" w:themeFill="accent6" w:themeFillTint="66"/>
          </w:tcPr>
          <w:p w14:paraId="4D80B176" w14:textId="77777777" w:rsidR="000E1262" w:rsidRDefault="000E1262" w:rsidP="000E1262">
            <w:pPr>
              <w:jc w:val="center"/>
              <w:rPr>
                <w:b/>
                <w:bCs/>
              </w:rPr>
            </w:pPr>
            <w:r>
              <w:rPr>
                <w:b/>
                <w:bCs/>
              </w:rPr>
              <w:t>1.</w:t>
            </w:r>
          </w:p>
        </w:tc>
        <w:tc>
          <w:tcPr>
            <w:tcW w:w="8635" w:type="dxa"/>
            <w:gridSpan w:val="2"/>
            <w:shd w:val="clear" w:color="auto" w:fill="auto"/>
          </w:tcPr>
          <w:p w14:paraId="5D24EB82" w14:textId="7428F525" w:rsidR="000E1262" w:rsidRPr="000E1262" w:rsidRDefault="00BA6049" w:rsidP="000E1262">
            <w:r w:rsidRPr="00BA6049">
              <w:t>Determine the housing and documentation resources provided for individuals exiting the state hospitals</w:t>
            </w:r>
          </w:p>
        </w:tc>
      </w:tr>
      <w:tr w:rsidR="000E1262" w14:paraId="0F576AEC" w14:textId="77777777" w:rsidTr="000E1262">
        <w:tc>
          <w:tcPr>
            <w:tcW w:w="715" w:type="dxa"/>
            <w:shd w:val="clear" w:color="auto" w:fill="B3E5A1" w:themeFill="accent6" w:themeFillTint="66"/>
          </w:tcPr>
          <w:p w14:paraId="7E9C572B" w14:textId="77777777" w:rsidR="000E1262" w:rsidRDefault="000E1262" w:rsidP="000E1262">
            <w:pPr>
              <w:jc w:val="center"/>
              <w:rPr>
                <w:b/>
                <w:bCs/>
              </w:rPr>
            </w:pPr>
            <w:r>
              <w:rPr>
                <w:b/>
                <w:bCs/>
              </w:rPr>
              <w:t>2.</w:t>
            </w:r>
          </w:p>
        </w:tc>
        <w:tc>
          <w:tcPr>
            <w:tcW w:w="8635" w:type="dxa"/>
            <w:gridSpan w:val="2"/>
            <w:shd w:val="clear" w:color="auto" w:fill="auto"/>
          </w:tcPr>
          <w:p w14:paraId="4EC8FB24" w14:textId="7147199D" w:rsidR="000E1262" w:rsidRDefault="00934380" w:rsidP="000E1262">
            <w:pPr>
              <w:rPr>
                <w:b/>
                <w:bCs/>
              </w:rPr>
            </w:pPr>
            <w:r w:rsidRPr="00934380">
              <w:t>Permanent, affordable, and quality housing options for justice-involved individuals</w:t>
            </w:r>
          </w:p>
        </w:tc>
      </w:tr>
      <w:tr w:rsidR="000E1262" w14:paraId="09867115" w14:textId="77777777" w:rsidTr="000E1262">
        <w:tc>
          <w:tcPr>
            <w:tcW w:w="715" w:type="dxa"/>
            <w:shd w:val="clear" w:color="auto" w:fill="B3E5A1" w:themeFill="accent6" w:themeFillTint="66"/>
          </w:tcPr>
          <w:p w14:paraId="27ADA738" w14:textId="77777777" w:rsidR="000E1262" w:rsidRDefault="000E1262" w:rsidP="000E1262">
            <w:pPr>
              <w:jc w:val="center"/>
              <w:rPr>
                <w:b/>
                <w:bCs/>
              </w:rPr>
            </w:pPr>
            <w:r>
              <w:rPr>
                <w:b/>
                <w:bCs/>
              </w:rPr>
              <w:t>3.</w:t>
            </w:r>
          </w:p>
        </w:tc>
        <w:tc>
          <w:tcPr>
            <w:tcW w:w="8635" w:type="dxa"/>
            <w:gridSpan w:val="2"/>
            <w:shd w:val="clear" w:color="auto" w:fill="auto"/>
          </w:tcPr>
          <w:p w14:paraId="4BF4CDC2" w14:textId="103FE236" w:rsidR="000E1262" w:rsidRPr="00CB65B5" w:rsidRDefault="00BD0FA5" w:rsidP="000E1262">
            <w:r w:rsidRPr="00BD0FA5">
              <w:t>Conduct targeted education to further increase affordable housing options for individuals with significant behavioral health needs</w:t>
            </w:r>
          </w:p>
        </w:tc>
      </w:tr>
      <w:tr w:rsidR="000E1262" w:rsidRPr="00BC071B" w14:paraId="35F4454E" w14:textId="77777777" w:rsidTr="00CB65B5">
        <w:tc>
          <w:tcPr>
            <w:tcW w:w="9350" w:type="dxa"/>
            <w:gridSpan w:val="3"/>
            <w:shd w:val="clear" w:color="auto" w:fill="B3E5A1" w:themeFill="accent6" w:themeFillTint="66"/>
          </w:tcPr>
          <w:p w14:paraId="7514B1C2" w14:textId="4E795E4C" w:rsidR="000E1262" w:rsidRPr="00BC071B" w:rsidRDefault="00CB65B5" w:rsidP="00CB65B5">
            <w:pPr>
              <w:jc w:val="center"/>
              <w:rPr>
                <w:b/>
                <w:bCs/>
                <w:sz w:val="28"/>
                <w:szCs w:val="28"/>
              </w:rPr>
            </w:pPr>
            <w:r>
              <w:rPr>
                <w:b/>
                <w:bCs/>
                <w:sz w:val="28"/>
                <w:szCs w:val="28"/>
              </w:rPr>
              <w:t>PARAMETERS OR CONSTRAINTS</w:t>
            </w:r>
          </w:p>
        </w:tc>
      </w:tr>
      <w:tr w:rsidR="007F2AC4" w:rsidRPr="0047052B" w14:paraId="455A68D9" w14:textId="77777777" w:rsidTr="00FD46B8">
        <w:tc>
          <w:tcPr>
            <w:tcW w:w="9350" w:type="dxa"/>
            <w:gridSpan w:val="3"/>
          </w:tcPr>
          <w:p w14:paraId="33163F3C" w14:textId="77777777" w:rsidR="0047052B" w:rsidRPr="0047052B" w:rsidRDefault="0047052B" w:rsidP="0047052B">
            <w:pPr>
              <w:rPr>
                <w:b/>
                <w:bCs/>
              </w:rPr>
            </w:pPr>
            <w:r w:rsidRPr="0047052B">
              <w:rPr>
                <w:b/>
                <w:bCs/>
              </w:rPr>
              <w:t>Who is the user of Idaho’s Behavioral Health System? What are their challenges?</w:t>
            </w:r>
          </w:p>
          <w:p w14:paraId="7713957A" w14:textId="1978AB5E" w:rsidR="007F2AC4" w:rsidRPr="0047052B" w:rsidRDefault="0047052B" w:rsidP="00724D54">
            <w:r w:rsidRPr="0047052B">
              <w:t>A person with behavioral health challenges or family group caring for such a person who may have been discharged from the health care system, the criminal justice system or is a transition aged youth (TAY) and/or has not engaged with the system but is at risk (housing insecure). They lack access to housing, may be homeless, unable to live independently and/or are unable to navigate the health care) system independently.</w:t>
            </w:r>
          </w:p>
        </w:tc>
      </w:tr>
      <w:tr w:rsidR="007F2AC4" w:rsidRPr="00BC071B" w14:paraId="023F5BD0" w14:textId="77777777" w:rsidTr="00CB65B5">
        <w:tc>
          <w:tcPr>
            <w:tcW w:w="9350" w:type="dxa"/>
            <w:gridSpan w:val="3"/>
            <w:shd w:val="clear" w:color="auto" w:fill="B3E5A1" w:themeFill="accent6" w:themeFillTint="66"/>
          </w:tcPr>
          <w:p w14:paraId="38752CAB" w14:textId="674BD1B2" w:rsidR="007F2AC4" w:rsidRPr="00BC071B" w:rsidRDefault="00CB65B5" w:rsidP="00CB65B5">
            <w:pPr>
              <w:jc w:val="center"/>
              <w:rPr>
                <w:b/>
                <w:bCs/>
                <w:sz w:val="28"/>
                <w:szCs w:val="28"/>
              </w:rPr>
            </w:pPr>
            <w:r>
              <w:rPr>
                <w:b/>
                <w:bCs/>
                <w:sz w:val="28"/>
                <w:szCs w:val="28"/>
              </w:rPr>
              <w:t>HIGH-LEVEL RISKS</w:t>
            </w:r>
          </w:p>
        </w:tc>
      </w:tr>
      <w:tr w:rsidR="007F2AC4" w:rsidRPr="00BC071B" w14:paraId="6E4A6D2E" w14:textId="77777777" w:rsidTr="00FD46B8">
        <w:tc>
          <w:tcPr>
            <w:tcW w:w="9350" w:type="dxa"/>
            <w:gridSpan w:val="3"/>
          </w:tcPr>
          <w:p w14:paraId="53B1FD2C" w14:textId="61616646" w:rsidR="007F2AC4" w:rsidRPr="00BC071B" w:rsidRDefault="00D64837" w:rsidP="00FD46B8">
            <w:pPr>
              <w:rPr>
                <w:b/>
                <w:bCs/>
                <w:sz w:val="28"/>
                <w:szCs w:val="28"/>
              </w:rPr>
            </w:pPr>
            <w:r w:rsidRPr="00D64837">
              <w:t>Funding and legislative approval. Lack of focus and mission creep. Different agency processes, policies, and procedures can create barriers to collaborating to give needed support.</w:t>
            </w:r>
          </w:p>
        </w:tc>
      </w:tr>
    </w:tbl>
    <w:p w14:paraId="4552F476" w14:textId="77777777" w:rsidR="00724D54" w:rsidRDefault="00724D54"/>
    <w:p w14:paraId="3880AD39" w14:textId="77777777" w:rsidR="00724D54" w:rsidRDefault="00724D54"/>
    <w:p w14:paraId="0FE185A1" w14:textId="77777777" w:rsidR="00724D54" w:rsidRDefault="00724D54"/>
    <w:tbl>
      <w:tblPr>
        <w:tblStyle w:val="TableGrid"/>
        <w:tblW w:w="0" w:type="auto"/>
        <w:tblLook w:val="04A0" w:firstRow="1" w:lastRow="0" w:firstColumn="1" w:lastColumn="0" w:noHBand="0" w:noVBand="1"/>
      </w:tblPr>
      <w:tblGrid>
        <w:gridCol w:w="2335"/>
        <w:gridCol w:w="7015"/>
      </w:tblGrid>
      <w:tr w:rsidR="000E1262" w:rsidRPr="00BC071B" w14:paraId="4A727965" w14:textId="77777777" w:rsidTr="000E1262">
        <w:tc>
          <w:tcPr>
            <w:tcW w:w="9350" w:type="dxa"/>
            <w:gridSpan w:val="2"/>
            <w:shd w:val="clear" w:color="auto" w:fill="B3E5A1" w:themeFill="accent6" w:themeFillTint="66"/>
          </w:tcPr>
          <w:p w14:paraId="3AFE5793" w14:textId="77777777" w:rsidR="000E1262" w:rsidRPr="00BC071B" w:rsidRDefault="000E1262" w:rsidP="000E1262">
            <w:pPr>
              <w:jc w:val="center"/>
              <w:rPr>
                <w:b/>
                <w:bCs/>
              </w:rPr>
            </w:pPr>
            <w:r w:rsidRPr="00BC071B">
              <w:rPr>
                <w:b/>
                <w:bCs/>
                <w:sz w:val="28"/>
                <w:szCs w:val="28"/>
              </w:rPr>
              <w:t>IMPLEMENTATION TEAM MEMBERS</w:t>
            </w:r>
          </w:p>
        </w:tc>
      </w:tr>
      <w:tr w:rsidR="00E43243" w:rsidRPr="00BC071B" w14:paraId="0D40311C" w14:textId="77777777" w:rsidTr="00182379">
        <w:tc>
          <w:tcPr>
            <w:tcW w:w="2335" w:type="dxa"/>
            <w:vAlign w:val="center"/>
          </w:tcPr>
          <w:p w14:paraId="24A7ED1D" w14:textId="185D8101" w:rsidR="00E43243" w:rsidRPr="00A32BF4" w:rsidRDefault="00E43243" w:rsidP="00E43243">
            <w:r w:rsidRPr="00A32BF4">
              <w:rPr>
                <w:rFonts w:cs="Tahoma"/>
              </w:rPr>
              <w:t>Beth Markley</w:t>
            </w:r>
          </w:p>
        </w:tc>
        <w:tc>
          <w:tcPr>
            <w:tcW w:w="7015" w:type="dxa"/>
            <w:vAlign w:val="center"/>
          </w:tcPr>
          <w:p w14:paraId="594027B5" w14:textId="358F3EDE" w:rsidR="00E43243" w:rsidRPr="00A32BF4" w:rsidRDefault="00E43243" w:rsidP="00E43243">
            <w:r w:rsidRPr="00A32BF4">
              <w:rPr>
                <w:rFonts w:cs="Tahoma"/>
              </w:rPr>
              <w:t>N</w:t>
            </w:r>
            <w:r w:rsidR="00BC5153" w:rsidRPr="00A32BF4">
              <w:rPr>
                <w:rFonts w:cs="Tahoma"/>
              </w:rPr>
              <w:t>ational Alliance on Mental Illness (N</w:t>
            </w:r>
            <w:r w:rsidRPr="00A32BF4">
              <w:rPr>
                <w:rFonts w:cs="Tahoma"/>
              </w:rPr>
              <w:t>AMI</w:t>
            </w:r>
            <w:r w:rsidR="00BC5153" w:rsidRPr="00A32BF4">
              <w:rPr>
                <w:rFonts w:cs="Tahoma"/>
              </w:rPr>
              <w:t>)</w:t>
            </w:r>
          </w:p>
        </w:tc>
      </w:tr>
      <w:tr w:rsidR="00E43243" w:rsidRPr="00BC071B" w14:paraId="025374E3" w14:textId="77777777" w:rsidTr="00182379">
        <w:tc>
          <w:tcPr>
            <w:tcW w:w="2335" w:type="dxa"/>
            <w:vAlign w:val="center"/>
          </w:tcPr>
          <w:p w14:paraId="3257D56A" w14:textId="1CA6B56E" w:rsidR="00E43243" w:rsidRPr="00A32BF4" w:rsidRDefault="00E43243" w:rsidP="00E43243">
            <w:r w:rsidRPr="00A32BF4">
              <w:rPr>
                <w:rFonts w:cs="Tahoma"/>
              </w:rPr>
              <w:t>Ali Rabe</w:t>
            </w:r>
          </w:p>
        </w:tc>
        <w:tc>
          <w:tcPr>
            <w:tcW w:w="7015" w:type="dxa"/>
            <w:vAlign w:val="center"/>
          </w:tcPr>
          <w:p w14:paraId="6EA31B19" w14:textId="6A0E09A3" w:rsidR="00E43243" w:rsidRPr="00A32BF4" w:rsidRDefault="00E43243" w:rsidP="00E43243">
            <w:r w:rsidRPr="00A32BF4">
              <w:rPr>
                <w:rFonts w:cs="Tahoma"/>
              </w:rPr>
              <w:t>Jesse Tree</w:t>
            </w:r>
          </w:p>
        </w:tc>
      </w:tr>
      <w:tr w:rsidR="00E43243" w:rsidRPr="00BC071B" w14:paraId="7D14ED4A" w14:textId="77777777" w:rsidTr="00182379">
        <w:tc>
          <w:tcPr>
            <w:tcW w:w="2335" w:type="dxa"/>
            <w:vAlign w:val="center"/>
          </w:tcPr>
          <w:p w14:paraId="56B7E408" w14:textId="5D76B116" w:rsidR="00E43243" w:rsidRPr="00A32BF4" w:rsidRDefault="00E43243" w:rsidP="00E43243">
            <w:r w:rsidRPr="00A32BF4">
              <w:rPr>
                <w:rFonts w:cs="Tahoma"/>
              </w:rPr>
              <w:t>Tina Transue</w:t>
            </w:r>
          </w:p>
        </w:tc>
        <w:tc>
          <w:tcPr>
            <w:tcW w:w="7015" w:type="dxa"/>
            <w:vAlign w:val="center"/>
          </w:tcPr>
          <w:p w14:paraId="67B3F041" w14:textId="6B267536" w:rsidR="00E43243" w:rsidRPr="00A32BF4" w:rsidRDefault="00E43243" w:rsidP="00E43243">
            <w:r w:rsidRPr="00A32BF4">
              <w:rPr>
                <w:rFonts w:cs="Tahoma"/>
              </w:rPr>
              <w:t>I</w:t>
            </w:r>
            <w:r w:rsidR="008444D5" w:rsidRPr="00A32BF4">
              <w:rPr>
                <w:rFonts w:cs="Tahoma"/>
              </w:rPr>
              <w:t>daho Department of Correction</w:t>
            </w:r>
          </w:p>
        </w:tc>
      </w:tr>
      <w:tr w:rsidR="00E43243" w:rsidRPr="00BC071B" w14:paraId="5990D722" w14:textId="77777777" w:rsidTr="00182379">
        <w:tc>
          <w:tcPr>
            <w:tcW w:w="2335" w:type="dxa"/>
            <w:vAlign w:val="center"/>
          </w:tcPr>
          <w:p w14:paraId="26E01D81" w14:textId="06065C24" w:rsidR="00E43243" w:rsidRPr="00A32BF4" w:rsidRDefault="00E43243" w:rsidP="00E43243">
            <w:r w:rsidRPr="00A32BF4">
              <w:rPr>
                <w:rFonts w:cs="Tahoma"/>
              </w:rPr>
              <w:t>Daina Drake</w:t>
            </w:r>
          </w:p>
        </w:tc>
        <w:tc>
          <w:tcPr>
            <w:tcW w:w="7015" w:type="dxa"/>
            <w:vAlign w:val="center"/>
          </w:tcPr>
          <w:p w14:paraId="7ED8ADCF" w14:textId="544C0CCA" w:rsidR="00E43243" w:rsidRPr="00A32BF4" w:rsidRDefault="008444D5" w:rsidP="00E43243">
            <w:r w:rsidRPr="00A32BF4">
              <w:rPr>
                <w:rFonts w:cs="Tahoma"/>
              </w:rPr>
              <w:t>Idaho Department of Correction</w:t>
            </w:r>
          </w:p>
        </w:tc>
      </w:tr>
      <w:tr w:rsidR="00E43243" w:rsidRPr="00BC071B" w14:paraId="03497BBB" w14:textId="77777777" w:rsidTr="00182379">
        <w:tc>
          <w:tcPr>
            <w:tcW w:w="2335" w:type="dxa"/>
            <w:vAlign w:val="center"/>
          </w:tcPr>
          <w:p w14:paraId="249A13C9" w14:textId="533980CE" w:rsidR="00E43243" w:rsidRPr="00A32BF4" w:rsidRDefault="00E43243" w:rsidP="00E43243">
            <w:r w:rsidRPr="00A32BF4">
              <w:rPr>
                <w:rFonts w:cs="Tahoma"/>
              </w:rPr>
              <w:t>Debbie Thomas</w:t>
            </w:r>
          </w:p>
        </w:tc>
        <w:tc>
          <w:tcPr>
            <w:tcW w:w="7015" w:type="dxa"/>
            <w:vAlign w:val="center"/>
          </w:tcPr>
          <w:p w14:paraId="45F5D718" w14:textId="67D54EC5" w:rsidR="00E43243" w:rsidRPr="00A32BF4" w:rsidRDefault="00E43243" w:rsidP="00E43243">
            <w:r w:rsidRPr="00A32BF4">
              <w:rPr>
                <w:rFonts w:cs="Tahoma"/>
              </w:rPr>
              <w:t>The Walker Center</w:t>
            </w:r>
            <w:r w:rsidR="00DC0144" w:rsidRPr="00A32BF4">
              <w:rPr>
                <w:rFonts w:cs="Tahoma"/>
              </w:rPr>
              <w:t xml:space="preserve"> for Alcoholism and Drug Abuse, Inc.</w:t>
            </w:r>
          </w:p>
        </w:tc>
      </w:tr>
      <w:tr w:rsidR="000276C6" w:rsidRPr="00BC071B" w14:paraId="2D1F3E24" w14:textId="77777777" w:rsidTr="00922FBC">
        <w:tc>
          <w:tcPr>
            <w:tcW w:w="2335" w:type="dxa"/>
            <w:vAlign w:val="center"/>
          </w:tcPr>
          <w:p w14:paraId="351C5767" w14:textId="3F8384AD" w:rsidR="000276C6" w:rsidRPr="00A32BF4" w:rsidRDefault="000276C6" w:rsidP="000276C6">
            <w:r w:rsidRPr="00A32BF4">
              <w:rPr>
                <w:rFonts w:cs="Tahoma"/>
              </w:rPr>
              <w:t>Lorenzo Washington</w:t>
            </w:r>
          </w:p>
        </w:tc>
        <w:tc>
          <w:tcPr>
            <w:tcW w:w="7015" w:type="dxa"/>
            <w:vAlign w:val="center"/>
          </w:tcPr>
          <w:p w14:paraId="1B51D32E" w14:textId="30486998" w:rsidR="000276C6" w:rsidRPr="00A32BF4" w:rsidRDefault="008444D5" w:rsidP="000276C6">
            <w:r w:rsidRPr="00A32BF4">
              <w:rPr>
                <w:rFonts w:cs="Tahoma"/>
              </w:rPr>
              <w:t>Idaho Department of Correction</w:t>
            </w:r>
          </w:p>
        </w:tc>
      </w:tr>
      <w:tr w:rsidR="000276C6" w:rsidRPr="00BC071B" w14:paraId="5004B1C5" w14:textId="77777777" w:rsidTr="00922FBC">
        <w:tc>
          <w:tcPr>
            <w:tcW w:w="2335" w:type="dxa"/>
            <w:vAlign w:val="center"/>
          </w:tcPr>
          <w:p w14:paraId="2A776DB9" w14:textId="2EAED5FF" w:rsidR="000276C6" w:rsidRPr="00A32BF4" w:rsidRDefault="000276C6" w:rsidP="000276C6">
            <w:r w:rsidRPr="00A32BF4">
              <w:rPr>
                <w:rFonts w:cs="Tahoma"/>
              </w:rPr>
              <w:t>Jessica Witten</w:t>
            </w:r>
          </w:p>
        </w:tc>
        <w:tc>
          <w:tcPr>
            <w:tcW w:w="7015" w:type="dxa"/>
            <w:vAlign w:val="center"/>
          </w:tcPr>
          <w:p w14:paraId="42B90BC1" w14:textId="547FEE31" w:rsidR="000276C6" w:rsidRPr="00A32BF4" w:rsidRDefault="008444D5" w:rsidP="000276C6">
            <w:r w:rsidRPr="00A32BF4">
              <w:rPr>
                <w:rFonts w:cs="Tahoma"/>
              </w:rPr>
              <w:t>Idaho Department of Health and Welfare, Division of Behavioral Health</w:t>
            </w:r>
          </w:p>
        </w:tc>
      </w:tr>
      <w:tr w:rsidR="000276C6" w:rsidRPr="00BC071B" w14:paraId="18EF8076" w14:textId="77777777" w:rsidTr="00922FBC">
        <w:tc>
          <w:tcPr>
            <w:tcW w:w="2335" w:type="dxa"/>
            <w:vAlign w:val="center"/>
          </w:tcPr>
          <w:p w14:paraId="5F24B76B" w14:textId="6FE3F7A5" w:rsidR="000276C6" w:rsidRPr="00A32BF4" w:rsidRDefault="000276C6" w:rsidP="000276C6">
            <w:r w:rsidRPr="00A32BF4">
              <w:rPr>
                <w:rFonts w:cs="Tahoma"/>
              </w:rPr>
              <w:t>Dustin Lapray</w:t>
            </w:r>
          </w:p>
        </w:tc>
        <w:tc>
          <w:tcPr>
            <w:tcW w:w="7015" w:type="dxa"/>
            <w:vAlign w:val="center"/>
          </w:tcPr>
          <w:p w14:paraId="1E9D7072" w14:textId="75D8ED44" w:rsidR="000276C6" w:rsidRPr="00A32BF4" w:rsidRDefault="008444D5" w:rsidP="000276C6">
            <w:r w:rsidRPr="00A32BF4">
              <w:rPr>
                <w:rFonts w:cs="Tahoma"/>
              </w:rPr>
              <w:t>Idaho Department of Health and Welfare, Division of Behavioral Health</w:t>
            </w:r>
          </w:p>
        </w:tc>
      </w:tr>
      <w:tr w:rsidR="000276C6" w:rsidRPr="00BC071B" w14:paraId="0A545C89" w14:textId="77777777" w:rsidTr="00597649">
        <w:tc>
          <w:tcPr>
            <w:tcW w:w="2335" w:type="dxa"/>
            <w:vAlign w:val="center"/>
          </w:tcPr>
          <w:p w14:paraId="371FE770" w14:textId="6B28882E" w:rsidR="000276C6" w:rsidRPr="00A32BF4" w:rsidRDefault="000276C6" w:rsidP="000276C6">
            <w:r w:rsidRPr="00A32BF4">
              <w:rPr>
                <w:rFonts w:cs="Tahoma"/>
              </w:rPr>
              <w:t>Darci Dickinson</w:t>
            </w:r>
          </w:p>
        </w:tc>
        <w:tc>
          <w:tcPr>
            <w:tcW w:w="7015" w:type="dxa"/>
            <w:vAlign w:val="center"/>
          </w:tcPr>
          <w:p w14:paraId="5DFE92D8" w14:textId="33D421CF" w:rsidR="000276C6" w:rsidRPr="00A32BF4" w:rsidRDefault="008444D5" w:rsidP="000276C6">
            <w:r w:rsidRPr="00A32BF4">
              <w:rPr>
                <w:rFonts w:cs="Tahoma"/>
              </w:rPr>
              <w:t>Administrative Office of the Courts</w:t>
            </w:r>
          </w:p>
        </w:tc>
      </w:tr>
      <w:tr w:rsidR="000276C6" w:rsidRPr="00BC071B" w14:paraId="3B12E61D" w14:textId="77777777" w:rsidTr="00597649">
        <w:tc>
          <w:tcPr>
            <w:tcW w:w="2335" w:type="dxa"/>
            <w:vAlign w:val="center"/>
          </w:tcPr>
          <w:p w14:paraId="616EB51B" w14:textId="6FB53D05" w:rsidR="000276C6" w:rsidRPr="00A32BF4" w:rsidRDefault="000276C6" w:rsidP="000276C6">
            <w:r w:rsidRPr="00A32BF4">
              <w:rPr>
                <w:rFonts w:cs="Tahoma"/>
              </w:rPr>
              <w:t>Brian Bagley</w:t>
            </w:r>
          </w:p>
        </w:tc>
        <w:tc>
          <w:tcPr>
            <w:tcW w:w="7015" w:type="dxa"/>
            <w:vAlign w:val="center"/>
          </w:tcPr>
          <w:p w14:paraId="6F26B5A1" w14:textId="7B44CBA3" w:rsidR="000276C6" w:rsidRPr="00A32BF4" w:rsidRDefault="000276C6" w:rsidP="000276C6">
            <w:r w:rsidRPr="00A32BF4">
              <w:rPr>
                <w:rFonts w:cs="Tahoma"/>
              </w:rPr>
              <w:t>Lakeside Ideal</w:t>
            </w:r>
          </w:p>
        </w:tc>
      </w:tr>
      <w:tr w:rsidR="000276C6" w:rsidRPr="00BC071B" w14:paraId="2DE43BCE" w14:textId="77777777" w:rsidTr="00597649">
        <w:tc>
          <w:tcPr>
            <w:tcW w:w="2335" w:type="dxa"/>
            <w:vAlign w:val="center"/>
          </w:tcPr>
          <w:p w14:paraId="5F12AD7E" w14:textId="0E91ED84" w:rsidR="000276C6" w:rsidRPr="00A32BF4" w:rsidRDefault="000276C6" w:rsidP="000276C6">
            <w:r w:rsidRPr="00A32BF4">
              <w:rPr>
                <w:rFonts w:cs="Tahoma"/>
              </w:rPr>
              <w:t>Robert Vande Merwe</w:t>
            </w:r>
          </w:p>
        </w:tc>
        <w:tc>
          <w:tcPr>
            <w:tcW w:w="7015" w:type="dxa"/>
            <w:vAlign w:val="center"/>
          </w:tcPr>
          <w:p w14:paraId="6A969522" w14:textId="23C25E1E" w:rsidR="000276C6" w:rsidRPr="00A32BF4" w:rsidRDefault="000276C6" w:rsidP="000276C6">
            <w:r w:rsidRPr="00A32BF4">
              <w:rPr>
                <w:rFonts w:cs="Tahoma"/>
              </w:rPr>
              <w:t>I</w:t>
            </w:r>
            <w:r w:rsidR="00C96FBF" w:rsidRPr="00A32BF4">
              <w:rPr>
                <w:rFonts w:cs="Tahoma"/>
              </w:rPr>
              <w:t>daho Health Care Association</w:t>
            </w:r>
          </w:p>
        </w:tc>
      </w:tr>
      <w:tr w:rsidR="000276C6" w:rsidRPr="00BC071B" w14:paraId="0394B176" w14:textId="77777777" w:rsidTr="00597649">
        <w:tc>
          <w:tcPr>
            <w:tcW w:w="2335" w:type="dxa"/>
            <w:vAlign w:val="center"/>
          </w:tcPr>
          <w:p w14:paraId="27D70A61" w14:textId="0C5CE529" w:rsidR="000276C6" w:rsidRPr="00A32BF4" w:rsidRDefault="000276C6" w:rsidP="000276C6">
            <w:r w:rsidRPr="00A32BF4">
              <w:rPr>
                <w:rFonts w:cs="Tahoma"/>
              </w:rPr>
              <w:t>Dea Hibdon</w:t>
            </w:r>
          </w:p>
        </w:tc>
        <w:tc>
          <w:tcPr>
            <w:tcW w:w="7015" w:type="dxa"/>
            <w:vAlign w:val="center"/>
          </w:tcPr>
          <w:p w14:paraId="7FB5FC15" w14:textId="68944161" w:rsidR="000276C6" w:rsidRPr="00A32BF4" w:rsidRDefault="008444D5" w:rsidP="000276C6">
            <w:r w:rsidRPr="00A32BF4">
              <w:rPr>
                <w:rFonts w:cs="Tahoma"/>
              </w:rPr>
              <w:t>Idaho Department of Health and Welfare, Division of Behavioral Health</w:t>
            </w:r>
          </w:p>
        </w:tc>
      </w:tr>
      <w:tr w:rsidR="000D417D" w:rsidRPr="00BC071B" w14:paraId="6DA15FAD" w14:textId="77777777" w:rsidTr="000C22AD">
        <w:tc>
          <w:tcPr>
            <w:tcW w:w="2335" w:type="dxa"/>
            <w:vAlign w:val="center"/>
          </w:tcPr>
          <w:p w14:paraId="7A68AAD8" w14:textId="737E3F06" w:rsidR="000D417D" w:rsidRPr="00A32BF4" w:rsidRDefault="000D417D" w:rsidP="000D417D">
            <w:r w:rsidRPr="00A32BF4">
              <w:rPr>
                <w:rFonts w:cs="Tahoma"/>
              </w:rPr>
              <w:t>Donna Brundage</w:t>
            </w:r>
          </w:p>
        </w:tc>
        <w:tc>
          <w:tcPr>
            <w:tcW w:w="7015" w:type="dxa"/>
            <w:vAlign w:val="center"/>
          </w:tcPr>
          <w:p w14:paraId="1C6F1C67" w14:textId="577C8CBD" w:rsidR="000D417D" w:rsidRPr="00A32BF4" w:rsidRDefault="000D417D" w:rsidP="000D417D">
            <w:r w:rsidRPr="00A32BF4">
              <w:rPr>
                <w:rFonts w:cs="Tahoma"/>
              </w:rPr>
              <w:t>St. Vincent de Paul</w:t>
            </w:r>
            <w:r w:rsidR="00C96FBF" w:rsidRPr="00A32BF4">
              <w:rPr>
                <w:rFonts w:cs="Tahoma"/>
              </w:rPr>
              <w:t>, Coeur d’Alene</w:t>
            </w:r>
          </w:p>
        </w:tc>
      </w:tr>
      <w:tr w:rsidR="000D417D" w:rsidRPr="00BC071B" w14:paraId="25819B3C" w14:textId="77777777" w:rsidTr="000C22AD">
        <w:tc>
          <w:tcPr>
            <w:tcW w:w="2335" w:type="dxa"/>
            <w:vAlign w:val="center"/>
          </w:tcPr>
          <w:p w14:paraId="62E05BE4" w14:textId="6E41D791" w:rsidR="000D417D" w:rsidRPr="00A32BF4" w:rsidRDefault="000D417D" w:rsidP="000D417D">
            <w:r w:rsidRPr="00A32BF4">
              <w:rPr>
                <w:rFonts w:cs="Tahoma"/>
              </w:rPr>
              <w:t>Vanessa Fry</w:t>
            </w:r>
          </w:p>
        </w:tc>
        <w:tc>
          <w:tcPr>
            <w:tcW w:w="7015" w:type="dxa"/>
            <w:vAlign w:val="center"/>
          </w:tcPr>
          <w:p w14:paraId="54323755" w14:textId="39C1EAC3" w:rsidR="000D417D" w:rsidRPr="00A32BF4" w:rsidRDefault="000D417D" w:rsidP="000D417D">
            <w:r w:rsidRPr="00A32BF4">
              <w:rPr>
                <w:rFonts w:cs="Tahoma"/>
              </w:rPr>
              <w:t>B</w:t>
            </w:r>
            <w:r w:rsidR="00E23292" w:rsidRPr="00A32BF4">
              <w:rPr>
                <w:rFonts w:cs="Tahoma"/>
              </w:rPr>
              <w:t>oise State University</w:t>
            </w:r>
            <w:r w:rsidRPr="00A32BF4">
              <w:rPr>
                <w:rFonts w:cs="Tahoma"/>
              </w:rPr>
              <w:t>; Idaho Policy Institute</w:t>
            </w:r>
          </w:p>
        </w:tc>
      </w:tr>
      <w:tr w:rsidR="000D417D" w14:paraId="327C549B" w14:textId="77777777" w:rsidTr="000C22AD">
        <w:tc>
          <w:tcPr>
            <w:tcW w:w="2335" w:type="dxa"/>
            <w:vAlign w:val="center"/>
          </w:tcPr>
          <w:p w14:paraId="06DCE39E" w14:textId="17481F27" w:rsidR="000D417D" w:rsidRPr="00A32BF4" w:rsidRDefault="000D417D" w:rsidP="000D417D">
            <w:r w:rsidRPr="00A32BF4">
              <w:rPr>
                <w:rFonts w:cs="Tahoma"/>
              </w:rPr>
              <w:t>Nathaniel Conklin</w:t>
            </w:r>
          </w:p>
        </w:tc>
        <w:tc>
          <w:tcPr>
            <w:tcW w:w="7015" w:type="dxa"/>
            <w:vAlign w:val="center"/>
          </w:tcPr>
          <w:p w14:paraId="6314DD58" w14:textId="44DFE25A" w:rsidR="000D417D" w:rsidRPr="00A32BF4" w:rsidRDefault="000D417D" w:rsidP="000D417D">
            <w:r w:rsidRPr="00A32BF4">
              <w:rPr>
                <w:rFonts w:cs="Tahoma"/>
              </w:rPr>
              <w:t>Fletcher Group</w:t>
            </w:r>
          </w:p>
        </w:tc>
      </w:tr>
      <w:tr w:rsidR="000D417D" w14:paraId="19D65D3A" w14:textId="77777777" w:rsidTr="000C22AD">
        <w:tc>
          <w:tcPr>
            <w:tcW w:w="2335" w:type="dxa"/>
            <w:vAlign w:val="center"/>
          </w:tcPr>
          <w:p w14:paraId="06CBF503" w14:textId="5BFB5F99" w:rsidR="000D417D" w:rsidRPr="00A32BF4" w:rsidRDefault="000D417D" w:rsidP="000D417D">
            <w:r w:rsidRPr="00A32BF4">
              <w:rPr>
                <w:rFonts w:cs="Tahoma"/>
              </w:rPr>
              <w:t>Stephanie Bastrup</w:t>
            </w:r>
          </w:p>
        </w:tc>
        <w:tc>
          <w:tcPr>
            <w:tcW w:w="7015" w:type="dxa"/>
            <w:vAlign w:val="center"/>
          </w:tcPr>
          <w:p w14:paraId="598336B3" w14:textId="558F66AB" w:rsidR="000D417D" w:rsidRPr="00A32BF4" w:rsidRDefault="000D417D" w:rsidP="000D417D">
            <w:r w:rsidRPr="00A32BF4">
              <w:rPr>
                <w:rFonts w:cs="Tahoma"/>
              </w:rPr>
              <w:t>Ada County, Alternative Sentencing and Programs</w:t>
            </w:r>
          </w:p>
        </w:tc>
      </w:tr>
      <w:tr w:rsidR="00D50CEB" w14:paraId="01D98C66" w14:textId="77777777" w:rsidTr="00191983">
        <w:tc>
          <w:tcPr>
            <w:tcW w:w="2335" w:type="dxa"/>
            <w:vAlign w:val="center"/>
          </w:tcPr>
          <w:p w14:paraId="61B371E6" w14:textId="6454626D" w:rsidR="00D50CEB" w:rsidRPr="00A32BF4" w:rsidRDefault="00D50CEB" w:rsidP="00D50CEB">
            <w:r w:rsidRPr="00A32BF4">
              <w:rPr>
                <w:rFonts w:cs="Tahoma"/>
              </w:rPr>
              <w:t>Jamie Simpson</w:t>
            </w:r>
          </w:p>
        </w:tc>
        <w:tc>
          <w:tcPr>
            <w:tcW w:w="7015" w:type="dxa"/>
            <w:vAlign w:val="center"/>
          </w:tcPr>
          <w:p w14:paraId="3C25667D" w14:textId="7A4B5ED8" w:rsidR="00D50CEB" w:rsidRPr="00A32BF4" w:rsidRDefault="00D50CEB" w:rsidP="00D50CEB">
            <w:r w:rsidRPr="00A32BF4">
              <w:rPr>
                <w:rFonts w:cs="Tahoma"/>
              </w:rPr>
              <w:t>I</w:t>
            </w:r>
            <w:r w:rsidR="00E23292" w:rsidRPr="00A32BF4">
              <w:rPr>
                <w:rFonts w:cs="Tahoma"/>
              </w:rPr>
              <w:t>daho Housing and Finance Association</w:t>
            </w:r>
          </w:p>
        </w:tc>
      </w:tr>
      <w:tr w:rsidR="00D50CEB" w14:paraId="30ADB0A3" w14:textId="77777777" w:rsidTr="00191983">
        <w:tc>
          <w:tcPr>
            <w:tcW w:w="2335" w:type="dxa"/>
            <w:vAlign w:val="center"/>
          </w:tcPr>
          <w:p w14:paraId="15DA0BE0" w14:textId="7F20A7BF" w:rsidR="00D50CEB" w:rsidRPr="00A32BF4" w:rsidRDefault="00D50CEB" w:rsidP="00D50CEB">
            <w:r w:rsidRPr="00A32BF4">
              <w:rPr>
                <w:rFonts w:cs="Tahoma"/>
              </w:rPr>
              <w:t>Heidi Sellick-Diaz</w:t>
            </w:r>
          </w:p>
        </w:tc>
        <w:tc>
          <w:tcPr>
            <w:tcW w:w="7015" w:type="dxa"/>
            <w:vAlign w:val="center"/>
          </w:tcPr>
          <w:p w14:paraId="690645B9" w14:textId="20B4555C" w:rsidR="00D50CEB" w:rsidRPr="00A32BF4" w:rsidRDefault="00E23292" w:rsidP="00D50CEB">
            <w:r w:rsidRPr="00A32BF4">
              <w:rPr>
                <w:rFonts w:cs="Tahoma"/>
              </w:rPr>
              <w:t>Idaho Housing and Finance Association</w:t>
            </w:r>
          </w:p>
        </w:tc>
      </w:tr>
      <w:tr w:rsidR="00D50CEB" w14:paraId="29109DF2" w14:textId="77777777" w:rsidTr="00191983">
        <w:tc>
          <w:tcPr>
            <w:tcW w:w="2335" w:type="dxa"/>
            <w:vAlign w:val="center"/>
          </w:tcPr>
          <w:p w14:paraId="782D2117" w14:textId="2A9F620E" w:rsidR="00D50CEB" w:rsidRPr="00A32BF4" w:rsidRDefault="00D50CEB" w:rsidP="00D50CEB">
            <w:r w:rsidRPr="00A32BF4">
              <w:rPr>
                <w:rFonts w:cs="Tahoma"/>
              </w:rPr>
              <w:t xml:space="preserve">Samantha </w:t>
            </w:r>
            <w:proofErr w:type="spellStart"/>
            <w:r w:rsidRPr="00A32BF4">
              <w:rPr>
                <w:rFonts w:cs="Tahoma"/>
              </w:rPr>
              <w:t>Sinwald</w:t>
            </w:r>
            <w:proofErr w:type="spellEnd"/>
          </w:p>
        </w:tc>
        <w:tc>
          <w:tcPr>
            <w:tcW w:w="7015" w:type="dxa"/>
            <w:vAlign w:val="center"/>
          </w:tcPr>
          <w:p w14:paraId="765B5674" w14:textId="3F8173AD" w:rsidR="00D50CEB" w:rsidRPr="00A32BF4" w:rsidRDefault="00D50CEB" w:rsidP="00D50CEB">
            <w:r w:rsidRPr="00A32BF4">
              <w:rPr>
                <w:rFonts w:cs="Tahoma"/>
              </w:rPr>
              <w:t>GEO Reentry Services</w:t>
            </w:r>
          </w:p>
        </w:tc>
      </w:tr>
      <w:tr w:rsidR="00D50CEB" w14:paraId="002BD6BE" w14:textId="77777777" w:rsidTr="00191983">
        <w:tc>
          <w:tcPr>
            <w:tcW w:w="2335" w:type="dxa"/>
            <w:vAlign w:val="center"/>
          </w:tcPr>
          <w:p w14:paraId="29AEB0E6" w14:textId="643F7D5A" w:rsidR="00D50CEB" w:rsidRPr="00A32BF4" w:rsidRDefault="00D50CEB" w:rsidP="00D50CEB">
            <w:r w:rsidRPr="00A32BF4">
              <w:rPr>
                <w:rFonts w:cs="Tahoma"/>
              </w:rPr>
              <w:t>Casey Mattoon</w:t>
            </w:r>
          </w:p>
        </w:tc>
        <w:tc>
          <w:tcPr>
            <w:tcW w:w="7015" w:type="dxa"/>
            <w:vAlign w:val="center"/>
          </w:tcPr>
          <w:p w14:paraId="2DC52BBE" w14:textId="72B8C6CD" w:rsidR="00D50CEB" w:rsidRPr="00A32BF4" w:rsidRDefault="00D50CEB" w:rsidP="00D50CEB">
            <w:r w:rsidRPr="00A32BF4">
              <w:rPr>
                <w:rFonts w:cs="Tahoma"/>
              </w:rPr>
              <w:t>Our Path Home</w:t>
            </w:r>
          </w:p>
        </w:tc>
      </w:tr>
      <w:tr w:rsidR="00D50CEB" w14:paraId="2113F97B" w14:textId="77777777" w:rsidTr="00191983">
        <w:tc>
          <w:tcPr>
            <w:tcW w:w="2335" w:type="dxa"/>
            <w:vAlign w:val="center"/>
          </w:tcPr>
          <w:p w14:paraId="373B41E7" w14:textId="35AF8FE6" w:rsidR="00D50CEB" w:rsidRPr="00A32BF4" w:rsidRDefault="00D50CEB" w:rsidP="00D50CEB">
            <w:r w:rsidRPr="00A32BF4">
              <w:rPr>
                <w:rFonts w:cs="Tahoma"/>
              </w:rPr>
              <w:t>Kendra Knighten</w:t>
            </w:r>
          </w:p>
        </w:tc>
        <w:tc>
          <w:tcPr>
            <w:tcW w:w="7015" w:type="dxa"/>
            <w:vAlign w:val="center"/>
          </w:tcPr>
          <w:p w14:paraId="775C0AB7" w14:textId="2B3033E9" w:rsidR="00D50CEB" w:rsidRPr="00A32BF4" w:rsidRDefault="00D50CEB" w:rsidP="00D50CEB">
            <w:r w:rsidRPr="00A32BF4">
              <w:rPr>
                <w:rFonts w:cs="Tahoma"/>
              </w:rPr>
              <w:t>Idaho Center for Fiscal Policy</w:t>
            </w:r>
          </w:p>
        </w:tc>
      </w:tr>
      <w:tr w:rsidR="00C331B4" w14:paraId="6B210D56" w14:textId="77777777" w:rsidTr="00C331B4">
        <w:tc>
          <w:tcPr>
            <w:tcW w:w="2335" w:type="dxa"/>
            <w:vAlign w:val="center"/>
          </w:tcPr>
          <w:p w14:paraId="416A6411" w14:textId="6311B0D4" w:rsidR="00C331B4" w:rsidRPr="00A32BF4" w:rsidRDefault="00C331B4" w:rsidP="00D50CEB">
            <w:pPr>
              <w:rPr>
                <w:rFonts w:cs="Tahoma"/>
              </w:rPr>
            </w:pPr>
            <w:r w:rsidRPr="00A32BF4">
              <w:rPr>
                <w:rFonts w:cs="Tahoma"/>
              </w:rPr>
              <w:t>Jordan</w:t>
            </w:r>
            <w:r w:rsidR="001B6F1B" w:rsidRPr="00A32BF4">
              <w:rPr>
                <w:rFonts w:cs="Tahoma"/>
              </w:rPr>
              <w:t xml:space="preserve"> Downey</w:t>
            </w:r>
          </w:p>
        </w:tc>
        <w:tc>
          <w:tcPr>
            <w:tcW w:w="7015" w:type="dxa"/>
            <w:vAlign w:val="center"/>
          </w:tcPr>
          <w:p w14:paraId="7D8825DA" w14:textId="0F8FEF3B" w:rsidR="00C331B4" w:rsidRPr="00A32BF4" w:rsidRDefault="00E23292" w:rsidP="00D50CEB">
            <w:pPr>
              <w:rPr>
                <w:rFonts w:cs="Tahoma"/>
              </w:rPr>
            </w:pPr>
            <w:r w:rsidRPr="00A32BF4">
              <w:rPr>
                <w:rFonts w:cs="Tahoma"/>
              </w:rPr>
              <w:t>Idaho Housing and Finance Association</w:t>
            </w:r>
          </w:p>
        </w:tc>
      </w:tr>
      <w:tr w:rsidR="00C331B4" w14:paraId="38D746FC" w14:textId="77777777" w:rsidTr="00C331B4">
        <w:tc>
          <w:tcPr>
            <w:tcW w:w="2335" w:type="dxa"/>
            <w:vAlign w:val="center"/>
          </w:tcPr>
          <w:p w14:paraId="0924B668" w14:textId="6C4E2E3E" w:rsidR="00C331B4" w:rsidRPr="00A32BF4" w:rsidRDefault="001B6F1B" w:rsidP="00D50CEB">
            <w:pPr>
              <w:rPr>
                <w:rFonts w:cs="Tahoma"/>
              </w:rPr>
            </w:pPr>
            <w:r w:rsidRPr="00A32BF4">
              <w:rPr>
                <w:rFonts w:cs="Tahoma"/>
              </w:rPr>
              <w:t xml:space="preserve">Jessica </w:t>
            </w:r>
            <w:proofErr w:type="spellStart"/>
            <w:r w:rsidRPr="00A32BF4">
              <w:rPr>
                <w:rFonts w:cs="Tahoma"/>
              </w:rPr>
              <w:t>Barawed</w:t>
            </w:r>
            <w:proofErr w:type="spellEnd"/>
          </w:p>
        </w:tc>
        <w:tc>
          <w:tcPr>
            <w:tcW w:w="7015" w:type="dxa"/>
            <w:vAlign w:val="center"/>
          </w:tcPr>
          <w:p w14:paraId="60766395" w14:textId="3EF82EFE" w:rsidR="00C331B4" w:rsidRPr="00A32BF4" w:rsidRDefault="001B6F1B" w:rsidP="00D50CEB">
            <w:pPr>
              <w:rPr>
                <w:rFonts w:cs="Tahoma"/>
              </w:rPr>
            </w:pPr>
            <w:r w:rsidRPr="00A32BF4">
              <w:rPr>
                <w:rFonts w:cs="Tahoma"/>
              </w:rPr>
              <w:t>City of Boise</w:t>
            </w:r>
          </w:p>
        </w:tc>
      </w:tr>
      <w:tr w:rsidR="00236879" w14:paraId="1706B458" w14:textId="77777777" w:rsidTr="00C331B4">
        <w:tc>
          <w:tcPr>
            <w:tcW w:w="2335" w:type="dxa"/>
            <w:vAlign w:val="center"/>
          </w:tcPr>
          <w:p w14:paraId="7DF3AA48" w14:textId="20BCD7FB" w:rsidR="00236879" w:rsidRPr="00A32BF4" w:rsidRDefault="004E1EEE" w:rsidP="00D50CEB">
            <w:pPr>
              <w:rPr>
                <w:rFonts w:cs="Tahoma"/>
              </w:rPr>
            </w:pPr>
            <w:proofErr w:type="spellStart"/>
            <w:r>
              <w:rPr>
                <w:rFonts w:cs="Tahoma"/>
              </w:rPr>
              <w:t>Shawnnell</w:t>
            </w:r>
            <w:proofErr w:type="spellEnd"/>
            <w:r>
              <w:rPr>
                <w:rFonts w:cs="Tahoma"/>
              </w:rPr>
              <w:t xml:space="preserve"> Whitehead</w:t>
            </w:r>
          </w:p>
        </w:tc>
        <w:tc>
          <w:tcPr>
            <w:tcW w:w="7015" w:type="dxa"/>
            <w:vAlign w:val="center"/>
          </w:tcPr>
          <w:p w14:paraId="07D87B81" w14:textId="15A4EAA7" w:rsidR="00236879" w:rsidRPr="00A32BF4" w:rsidRDefault="004E1EEE" w:rsidP="00D50CEB">
            <w:pPr>
              <w:rPr>
                <w:rFonts w:cs="Tahoma"/>
              </w:rPr>
            </w:pPr>
            <w:r>
              <w:rPr>
                <w:rFonts w:cs="Tahoma"/>
              </w:rPr>
              <w:t>Magellan Health</w:t>
            </w:r>
          </w:p>
        </w:tc>
      </w:tr>
      <w:tr w:rsidR="00236879" w14:paraId="6FA58A2E" w14:textId="77777777" w:rsidTr="00C331B4">
        <w:tc>
          <w:tcPr>
            <w:tcW w:w="2335" w:type="dxa"/>
            <w:vAlign w:val="center"/>
          </w:tcPr>
          <w:p w14:paraId="35534044" w14:textId="71B331D5" w:rsidR="00236879" w:rsidRPr="00A32BF4" w:rsidRDefault="00BB2888" w:rsidP="00D50CEB">
            <w:pPr>
              <w:rPr>
                <w:rFonts w:cs="Tahoma"/>
              </w:rPr>
            </w:pPr>
            <w:r>
              <w:rPr>
                <w:rFonts w:cs="Tahoma"/>
              </w:rPr>
              <w:t xml:space="preserve">Tabatha </w:t>
            </w:r>
            <w:proofErr w:type="spellStart"/>
            <w:r>
              <w:rPr>
                <w:rFonts w:cs="Tahoma"/>
              </w:rPr>
              <w:t>Haywod</w:t>
            </w:r>
            <w:proofErr w:type="spellEnd"/>
          </w:p>
        </w:tc>
        <w:tc>
          <w:tcPr>
            <w:tcW w:w="7015" w:type="dxa"/>
            <w:vAlign w:val="center"/>
          </w:tcPr>
          <w:p w14:paraId="55D536D6" w14:textId="672C6FDA" w:rsidR="00236879" w:rsidRPr="00A32BF4" w:rsidRDefault="00BB2888" w:rsidP="00D50CEB">
            <w:pPr>
              <w:rPr>
                <w:rFonts w:cs="Tahoma"/>
              </w:rPr>
            </w:pPr>
            <w:r>
              <w:rPr>
                <w:rFonts w:cs="Tahoma"/>
              </w:rPr>
              <w:t>Magellan Health</w:t>
            </w:r>
          </w:p>
        </w:tc>
      </w:tr>
      <w:tr w:rsidR="007F2AC4" w14:paraId="7DA1C2C0" w14:textId="77777777" w:rsidTr="00003713">
        <w:tc>
          <w:tcPr>
            <w:tcW w:w="9350" w:type="dxa"/>
            <w:gridSpan w:val="2"/>
            <w:shd w:val="clear" w:color="auto" w:fill="B3E5A1" w:themeFill="accent6" w:themeFillTint="66"/>
          </w:tcPr>
          <w:p w14:paraId="6E0980DE" w14:textId="7B133988" w:rsidR="007F2AC4" w:rsidRPr="00003713" w:rsidRDefault="00003713" w:rsidP="00003713">
            <w:pPr>
              <w:jc w:val="center"/>
            </w:pPr>
            <w:r w:rsidRPr="00003713">
              <w:rPr>
                <w:b/>
                <w:bCs/>
                <w:sz w:val="28"/>
                <w:szCs w:val="28"/>
              </w:rPr>
              <w:t>ADMINISTRATION</w:t>
            </w:r>
          </w:p>
        </w:tc>
      </w:tr>
      <w:tr w:rsidR="00BC00E1" w14:paraId="35BEE7F1" w14:textId="77777777" w:rsidTr="007F2AC4">
        <w:tc>
          <w:tcPr>
            <w:tcW w:w="2335" w:type="dxa"/>
            <w:shd w:val="clear" w:color="auto" w:fill="B3E5A1" w:themeFill="accent6" w:themeFillTint="66"/>
          </w:tcPr>
          <w:p w14:paraId="41B93490" w14:textId="77777777" w:rsidR="00BC00E1" w:rsidRPr="007F2AC4" w:rsidRDefault="007F2AC4" w:rsidP="00FD46B8">
            <w:pPr>
              <w:rPr>
                <w:b/>
                <w:bCs/>
              </w:rPr>
            </w:pPr>
            <w:r w:rsidRPr="007F2AC4">
              <w:rPr>
                <w:b/>
                <w:bCs/>
              </w:rPr>
              <w:t>Meeting Cadence</w:t>
            </w:r>
          </w:p>
        </w:tc>
        <w:tc>
          <w:tcPr>
            <w:tcW w:w="7015" w:type="dxa"/>
          </w:tcPr>
          <w:p w14:paraId="7922590B" w14:textId="48DFCB46" w:rsidR="00BC00E1" w:rsidRDefault="003A69F4" w:rsidP="00FD46B8">
            <w:r>
              <w:t>Second Wednesday of each month, 2pm MT</w:t>
            </w:r>
          </w:p>
        </w:tc>
      </w:tr>
      <w:tr w:rsidR="00BC00E1" w14:paraId="13214B6B" w14:textId="77777777" w:rsidTr="007F2AC4">
        <w:tc>
          <w:tcPr>
            <w:tcW w:w="2335" w:type="dxa"/>
            <w:shd w:val="clear" w:color="auto" w:fill="B3E5A1" w:themeFill="accent6" w:themeFillTint="66"/>
          </w:tcPr>
          <w:p w14:paraId="77D4E695" w14:textId="52E45ECB" w:rsidR="007F2AC4" w:rsidRPr="007F2AC4" w:rsidRDefault="001D5D01" w:rsidP="00FD46B8">
            <w:pPr>
              <w:rPr>
                <w:b/>
                <w:bCs/>
              </w:rPr>
            </w:pPr>
            <w:r w:rsidRPr="007F2AC4">
              <w:rPr>
                <w:b/>
                <w:bCs/>
              </w:rPr>
              <w:t>Communication</w:t>
            </w:r>
            <w:r w:rsidR="00E94AE7">
              <w:rPr>
                <w:b/>
                <w:bCs/>
              </w:rPr>
              <w:t xml:space="preserve"> </w:t>
            </w:r>
          </w:p>
        </w:tc>
        <w:tc>
          <w:tcPr>
            <w:tcW w:w="7015" w:type="dxa"/>
          </w:tcPr>
          <w:p w14:paraId="3D9EE0C2" w14:textId="77777777" w:rsidR="00BC00E1" w:rsidRDefault="00BC00E1" w:rsidP="00FD46B8"/>
        </w:tc>
      </w:tr>
      <w:tr w:rsidR="00BC00E1" w14:paraId="44A23ED3" w14:textId="77777777" w:rsidTr="007F2AC4">
        <w:tc>
          <w:tcPr>
            <w:tcW w:w="2335" w:type="dxa"/>
            <w:shd w:val="clear" w:color="auto" w:fill="B3E5A1" w:themeFill="accent6" w:themeFillTint="66"/>
          </w:tcPr>
          <w:p w14:paraId="7F5712A5" w14:textId="5E5CBCAE" w:rsidR="00BC00E1" w:rsidRPr="007F2AC4" w:rsidRDefault="00E94AE7" w:rsidP="00FD46B8">
            <w:pPr>
              <w:rPr>
                <w:b/>
                <w:bCs/>
              </w:rPr>
            </w:pPr>
            <w:r w:rsidRPr="007F2AC4">
              <w:rPr>
                <w:b/>
                <w:bCs/>
              </w:rPr>
              <w:t>Amendment Process</w:t>
            </w:r>
          </w:p>
        </w:tc>
        <w:tc>
          <w:tcPr>
            <w:tcW w:w="7015" w:type="dxa"/>
          </w:tcPr>
          <w:p w14:paraId="4A734EC9" w14:textId="77777777" w:rsidR="00BC00E1" w:rsidRDefault="00BC00E1" w:rsidP="00FD46B8"/>
        </w:tc>
      </w:tr>
      <w:tr w:rsidR="001D5D01" w14:paraId="47246438" w14:textId="77777777" w:rsidTr="007F2AC4">
        <w:tc>
          <w:tcPr>
            <w:tcW w:w="2335" w:type="dxa"/>
            <w:shd w:val="clear" w:color="auto" w:fill="B3E5A1" w:themeFill="accent6" w:themeFillTint="66"/>
          </w:tcPr>
          <w:p w14:paraId="05B0B4A6" w14:textId="7B398181" w:rsidR="001D5D01" w:rsidRPr="007F2AC4" w:rsidRDefault="00393EA2" w:rsidP="001D5D01">
            <w:pPr>
              <w:rPr>
                <w:b/>
                <w:bCs/>
              </w:rPr>
            </w:pPr>
            <w:r>
              <w:rPr>
                <w:b/>
                <w:bCs/>
              </w:rPr>
              <w:t xml:space="preserve">Dates </w:t>
            </w:r>
            <w:r w:rsidR="001D5D01" w:rsidRPr="007F2AC4">
              <w:rPr>
                <w:b/>
                <w:bCs/>
              </w:rPr>
              <w:t>Amend</w:t>
            </w:r>
            <w:r>
              <w:rPr>
                <w:b/>
                <w:bCs/>
              </w:rPr>
              <w:t>ed</w:t>
            </w:r>
          </w:p>
        </w:tc>
        <w:tc>
          <w:tcPr>
            <w:tcW w:w="7015" w:type="dxa"/>
          </w:tcPr>
          <w:p w14:paraId="670F0AF6" w14:textId="77777777" w:rsidR="001D5D01" w:rsidRDefault="001D5D01" w:rsidP="001D5D01"/>
        </w:tc>
      </w:tr>
    </w:tbl>
    <w:p w14:paraId="1F50FB46" w14:textId="77777777" w:rsidR="00C947C7" w:rsidRPr="00C947C7" w:rsidRDefault="00C947C7" w:rsidP="003A69F4"/>
    <w:sectPr w:rsidR="00C947C7" w:rsidRPr="00C947C7" w:rsidSect="00D648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6FC3A" w14:textId="77777777" w:rsidR="00730D36" w:rsidRDefault="00730D36" w:rsidP="00A32BF9">
      <w:pPr>
        <w:spacing w:after="0" w:line="240" w:lineRule="auto"/>
      </w:pPr>
      <w:r>
        <w:separator/>
      </w:r>
    </w:p>
  </w:endnote>
  <w:endnote w:type="continuationSeparator" w:id="0">
    <w:p w14:paraId="10D7BD7B" w14:textId="77777777" w:rsidR="00730D36" w:rsidRDefault="00730D36" w:rsidP="00A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C176" w14:textId="77777777" w:rsidR="00631DA3" w:rsidRDefault="0063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922568"/>
      <w:docPartObj>
        <w:docPartGallery w:val="Page Numbers (Bottom of Page)"/>
        <w:docPartUnique/>
      </w:docPartObj>
    </w:sdtPr>
    <w:sdtEndPr>
      <w:rPr>
        <w:noProof/>
      </w:rPr>
    </w:sdtEndPr>
    <w:sdtContent>
      <w:p w14:paraId="07BF2669" w14:textId="7A4576D1" w:rsidR="00631DA3" w:rsidRDefault="00631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640CE" w14:textId="77777777" w:rsidR="00631DA3" w:rsidRDefault="00631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4DC" w14:textId="77777777" w:rsidR="00631DA3" w:rsidRDefault="0063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A19A" w14:textId="77777777" w:rsidR="00730D36" w:rsidRDefault="00730D36" w:rsidP="00A32BF9">
      <w:pPr>
        <w:spacing w:after="0" w:line="240" w:lineRule="auto"/>
      </w:pPr>
      <w:r>
        <w:separator/>
      </w:r>
    </w:p>
  </w:footnote>
  <w:footnote w:type="continuationSeparator" w:id="0">
    <w:p w14:paraId="4FF07A1F" w14:textId="77777777" w:rsidR="00730D36" w:rsidRDefault="00730D36" w:rsidP="00A3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7592" w14:textId="77777777" w:rsidR="00631DA3" w:rsidRDefault="00631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982" w14:textId="77777777" w:rsidR="00A32BF9" w:rsidRDefault="00A32BF9" w:rsidP="00A32BF9">
    <w:pPr>
      <w:pStyle w:val="Header"/>
      <w:jc w:val="right"/>
      <w:rPr>
        <w:b/>
        <w:bCs/>
        <w:sz w:val="44"/>
        <w:szCs w:val="44"/>
      </w:rPr>
    </w:pPr>
  </w:p>
  <w:p w14:paraId="0BEB7C8B" w14:textId="77777777" w:rsidR="00A32BF9" w:rsidRDefault="00A32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979D" w14:textId="77777777" w:rsidR="00A32BF9" w:rsidRDefault="00A32BF9" w:rsidP="00A32BF9">
    <w:pPr>
      <w:pStyle w:val="Header"/>
      <w:jc w:val="right"/>
      <w:rPr>
        <w:b/>
        <w:bCs/>
        <w:sz w:val="44"/>
        <w:szCs w:val="44"/>
      </w:rPr>
    </w:pPr>
    <w:r>
      <w:rPr>
        <w:b/>
        <w:bCs/>
        <w:noProof/>
      </w:rPr>
      <w:drawing>
        <wp:anchor distT="0" distB="0" distL="114300" distR="114300" simplePos="0" relativeHeight="251658240" behindDoc="0" locked="0" layoutInCell="1" allowOverlap="1" wp14:anchorId="6D71BA69" wp14:editId="3F094043">
          <wp:simplePos x="0" y="0"/>
          <wp:positionH relativeFrom="column">
            <wp:posOffset>2407920</wp:posOffset>
          </wp:positionH>
          <wp:positionV relativeFrom="paragraph">
            <wp:posOffset>13335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5DFD3C9F"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570B90C1"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583477">
    <w:abstractNumId w:val="1"/>
  </w:num>
  <w:num w:numId="2" w16cid:durableId="62858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B"/>
    <w:rsid w:val="00003713"/>
    <w:rsid w:val="00014FDE"/>
    <w:rsid w:val="000276C6"/>
    <w:rsid w:val="00036D51"/>
    <w:rsid w:val="00064314"/>
    <w:rsid w:val="000D417D"/>
    <w:rsid w:val="000E1262"/>
    <w:rsid w:val="0018229E"/>
    <w:rsid w:val="001A735B"/>
    <w:rsid w:val="001B6F1B"/>
    <w:rsid w:val="001B7DF0"/>
    <w:rsid w:val="001D5D01"/>
    <w:rsid w:val="001E3B19"/>
    <w:rsid w:val="00236879"/>
    <w:rsid w:val="002F07DE"/>
    <w:rsid w:val="003262DC"/>
    <w:rsid w:val="003329E3"/>
    <w:rsid w:val="0036352B"/>
    <w:rsid w:val="00393EA2"/>
    <w:rsid w:val="003A69F4"/>
    <w:rsid w:val="003F093B"/>
    <w:rsid w:val="00426632"/>
    <w:rsid w:val="00457B1D"/>
    <w:rsid w:val="0047052B"/>
    <w:rsid w:val="004A5E52"/>
    <w:rsid w:val="004D76D6"/>
    <w:rsid w:val="004E1EEE"/>
    <w:rsid w:val="00524064"/>
    <w:rsid w:val="00587BC3"/>
    <w:rsid w:val="005E6262"/>
    <w:rsid w:val="00631DA3"/>
    <w:rsid w:val="0065492A"/>
    <w:rsid w:val="006E3F8D"/>
    <w:rsid w:val="006F0F65"/>
    <w:rsid w:val="006F446A"/>
    <w:rsid w:val="00724D54"/>
    <w:rsid w:val="00730D36"/>
    <w:rsid w:val="00750045"/>
    <w:rsid w:val="00753ACB"/>
    <w:rsid w:val="00767615"/>
    <w:rsid w:val="007F2AC4"/>
    <w:rsid w:val="00807070"/>
    <w:rsid w:val="008444D5"/>
    <w:rsid w:val="008764C7"/>
    <w:rsid w:val="00903BB7"/>
    <w:rsid w:val="0092385D"/>
    <w:rsid w:val="00934380"/>
    <w:rsid w:val="00962DFC"/>
    <w:rsid w:val="009862F4"/>
    <w:rsid w:val="00A32BF4"/>
    <w:rsid w:val="00A32BF9"/>
    <w:rsid w:val="00A51BB8"/>
    <w:rsid w:val="00AC1FBD"/>
    <w:rsid w:val="00BA6049"/>
    <w:rsid w:val="00BB2888"/>
    <w:rsid w:val="00BC00E1"/>
    <w:rsid w:val="00BC5153"/>
    <w:rsid w:val="00BD0FA5"/>
    <w:rsid w:val="00BE15AD"/>
    <w:rsid w:val="00C265D1"/>
    <w:rsid w:val="00C331B4"/>
    <w:rsid w:val="00C71150"/>
    <w:rsid w:val="00C947C7"/>
    <w:rsid w:val="00C96FBF"/>
    <w:rsid w:val="00CB65B5"/>
    <w:rsid w:val="00D50CEB"/>
    <w:rsid w:val="00D64837"/>
    <w:rsid w:val="00D67F19"/>
    <w:rsid w:val="00DB4A16"/>
    <w:rsid w:val="00DC0144"/>
    <w:rsid w:val="00E23292"/>
    <w:rsid w:val="00E26DFB"/>
    <w:rsid w:val="00E43243"/>
    <w:rsid w:val="00E5309A"/>
    <w:rsid w:val="00E94AE7"/>
    <w:rsid w:val="00F3304D"/>
    <w:rsid w:val="00F82A8D"/>
    <w:rsid w:val="00FE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22D"/>
  <w15:chartTrackingRefBased/>
  <w15:docId w15:val="{FE108E06-6561-4ADC-8F09-D2F8E406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6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34608">
      <w:bodyDiv w:val="1"/>
      <w:marLeft w:val="0"/>
      <w:marRight w:val="0"/>
      <w:marTop w:val="0"/>
      <w:marBottom w:val="0"/>
      <w:divBdr>
        <w:top w:val="none" w:sz="0" w:space="0" w:color="auto"/>
        <w:left w:val="none" w:sz="0" w:space="0" w:color="auto"/>
        <w:bottom w:val="none" w:sz="0" w:space="0" w:color="auto"/>
        <w:right w:val="none" w:sz="0" w:space="0" w:color="auto"/>
      </w:divBdr>
    </w:div>
    <w:div w:id="1305890824">
      <w:bodyDiv w:val="1"/>
      <w:marLeft w:val="0"/>
      <w:marRight w:val="0"/>
      <w:marTop w:val="0"/>
      <w:marBottom w:val="0"/>
      <w:divBdr>
        <w:top w:val="none" w:sz="0" w:space="0" w:color="auto"/>
        <w:left w:val="none" w:sz="0" w:space="0" w:color="auto"/>
        <w:bottom w:val="none" w:sz="0" w:space="0" w:color="auto"/>
        <w:right w:val="none" w:sz="0" w:space="0" w:color="auto"/>
      </w:divBdr>
    </w:div>
    <w:div w:id="15808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E473B-62ED-46B0-B7A0-B41DDBBA211F}">
  <ds:schemaRefs>
    <ds:schemaRef ds:uri="http://schemas.microsoft.com/sharepoint/v3/contenttype/forms"/>
  </ds:schemaRefs>
</ds:datastoreItem>
</file>

<file path=customXml/itemProps3.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2</cp:revision>
  <dcterms:created xsi:type="dcterms:W3CDTF">2025-06-19T23:16:00Z</dcterms:created>
  <dcterms:modified xsi:type="dcterms:W3CDTF">2025-06-19T23:16:00Z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