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15C109C1" w:rsidR="00E26DFB" w:rsidRPr="00A32BF9" w:rsidRDefault="00681A35" w:rsidP="00C947C7">
      <w:pPr>
        <w:jc w:val="center"/>
        <w:rPr>
          <w:b/>
          <w:bCs/>
          <w:sz w:val="40"/>
          <w:szCs w:val="40"/>
        </w:rPr>
      </w:pPr>
      <w:r>
        <w:rPr>
          <w:b/>
          <w:bCs/>
          <w:sz w:val="40"/>
          <w:szCs w:val="40"/>
        </w:rPr>
        <w:t>Diversion Systems</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4F1E6359" w:rsidR="00A32BF9" w:rsidRDefault="00681A35">
            <w:r>
              <w:t>Engagement</w:t>
            </w:r>
            <w:r w:rsidR="00A32BF9">
              <w:t xml:space="preserve"> #</w:t>
            </w:r>
            <w:r>
              <w:t>4</w:t>
            </w:r>
            <w:r w:rsidR="00A32BF9">
              <w:t xml:space="preserve">: </w:t>
            </w:r>
            <w:r w:rsidR="00CD5547" w:rsidRPr="00CD5547">
              <w:t>Develop early diversion and deflection tactics to avoid long-term engagement with the criminal justice system: prearrest, post arrest, and beyond.</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2DF879C3" w:rsidR="008764C7" w:rsidRDefault="00E17BB5" w:rsidP="00FD46B8">
            <w:r>
              <w:t>Bree Derrick, IDOC; Scott Ronan, ISC</w:t>
            </w:r>
          </w:p>
        </w:tc>
      </w:tr>
      <w:tr w:rsidR="00A32BF9" w14:paraId="34FA92CD" w14:textId="77777777" w:rsidTr="008764C7">
        <w:tc>
          <w:tcPr>
            <w:tcW w:w="2065" w:type="dxa"/>
            <w:gridSpan w:val="2"/>
            <w:shd w:val="clear" w:color="auto" w:fill="B3E5A1" w:themeFill="accent6" w:themeFillTint="66"/>
          </w:tcPr>
          <w:p w14:paraId="02E61146" w14:textId="6DD7E7C2" w:rsidR="00A32BF9" w:rsidRDefault="00A32BF9" w:rsidP="00FD46B8">
            <w:pPr>
              <w:rPr>
                <w:b/>
                <w:bCs/>
              </w:rPr>
            </w:pPr>
            <w:r>
              <w:rPr>
                <w:b/>
                <w:bCs/>
              </w:rPr>
              <w:t>Team Chair</w:t>
            </w:r>
            <w:r w:rsidR="00DB2A4B">
              <w:rPr>
                <w:b/>
                <w:bCs/>
              </w:rPr>
              <w:t>s</w:t>
            </w:r>
          </w:p>
        </w:tc>
        <w:tc>
          <w:tcPr>
            <w:tcW w:w="7285" w:type="dxa"/>
          </w:tcPr>
          <w:p w14:paraId="4F3164F3" w14:textId="200A3D08" w:rsidR="00A32BF9" w:rsidRPr="00DB2A4B" w:rsidRDefault="00E17BB5" w:rsidP="00FD46B8">
            <w:r>
              <w:t>Bree Derrick</w:t>
            </w:r>
            <w:r w:rsidR="00AE328F">
              <w:t xml:space="preserve"> and Scott Ronan</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74723BC4" w:rsidR="00A32BF9" w:rsidRPr="009862F4" w:rsidRDefault="00D068DD" w:rsidP="00FD46B8">
            <w:r>
              <w:t>Kristin Green</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0D7C254F" w14:textId="77777777" w:rsidR="002C47A6" w:rsidRDefault="002C47A6" w:rsidP="002C47A6">
            <w:pPr>
              <w:spacing w:after="503"/>
              <w:ind w:left="14" w:right="-288"/>
              <w:contextualSpacing/>
            </w:pPr>
            <w:r>
              <w:t xml:space="preserve">To develop and implement a comprehensive system of behavioral health-focused deflection and diversion initiatives at the pre-arrest, post-arrest, and post-conviction stages to prevent long-term engagement in the criminal justice system. This system requires matching accountability and services to the risks and needs of justice involved individuals. In addition, this system should consider identifying gaps or improvements in the differences between rural and urban jurisdictions throughout Idaho, with an emphasis on achieving reasonable and responsible consistencies across the state to create off-ramps from the system. </w:t>
            </w:r>
          </w:p>
          <w:p w14:paraId="6EAFEFA2" w14:textId="77777777" w:rsidR="002C47A6" w:rsidRDefault="002C47A6" w:rsidP="002C47A6">
            <w:pPr>
              <w:spacing w:after="503"/>
              <w:ind w:left="14" w:right="-288"/>
              <w:contextualSpacing/>
            </w:pPr>
          </w:p>
          <w:p w14:paraId="044D9BB7" w14:textId="77777777" w:rsidR="006E3B90" w:rsidRDefault="002C47A6" w:rsidP="00D13852">
            <w:pPr>
              <w:spacing w:after="503"/>
              <w:ind w:left="14" w:right="-288"/>
              <w:contextualSpacing/>
            </w:pPr>
            <w:r>
              <w:t>The deflection and diversion system should reflect the dynamic needs of justice involved individuals both for juvenile and adults as well as developing opportunities addressing youth or young adults.</w:t>
            </w:r>
          </w:p>
          <w:p w14:paraId="76746309" w14:textId="745537E1" w:rsidR="000E1262" w:rsidRDefault="002C47A6" w:rsidP="00D13852">
            <w:pPr>
              <w:spacing w:after="503"/>
              <w:ind w:left="14" w:right="-288"/>
              <w:contextualSpacing/>
            </w:pPr>
            <w:r>
              <w:t xml:space="preserve"> </w:t>
            </w:r>
          </w:p>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00E15D84" w:rsidR="000E1262" w:rsidRPr="000E1262" w:rsidRDefault="004F2AE6" w:rsidP="000E1262">
            <w:r w:rsidRPr="004F2AE6">
              <w:t>Evaluate the processes around the age of detainment</w:t>
            </w:r>
            <w:r w:rsidR="00320ABC">
              <w:t>.</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435722DD" w:rsidR="000E1262" w:rsidRDefault="00320ABC" w:rsidP="000E1262">
            <w:pPr>
              <w:rPr>
                <w:b/>
                <w:bCs/>
              </w:rPr>
            </w:pPr>
            <w:r>
              <w:t>Implement two pilot court projects meant to divert justice-involved individuals with significant behavioral health issues.</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t>3.</w:t>
            </w:r>
          </w:p>
        </w:tc>
        <w:tc>
          <w:tcPr>
            <w:tcW w:w="8635" w:type="dxa"/>
            <w:gridSpan w:val="2"/>
            <w:shd w:val="clear" w:color="auto" w:fill="auto"/>
          </w:tcPr>
          <w:p w14:paraId="4BF4CDC2" w14:textId="50C224C1" w:rsidR="000E1262" w:rsidRPr="00CB65B5" w:rsidRDefault="009B5CC5" w:rsidP="000E1262">
            <w:r>
              <w:t xml:space="preserve">Evaluate </w:t>
            </w:r>
            <w:r w:rsidR="00D068DD">
              <w:t xml:space="preserve">jails’ ability to implement </w:t>
            </w:r>
            <w:r w:rsidR="00320ABC">
              <w:t>diversionary programs meant to address their service needs such as behavioral health and education.</w:t>
            </w:r>
          </w:p>
        </w:tc>
      </w:tr>
      <w:tr w:rsidR="009B5CC5" w14:paraId="0303AA41" w14:textId="77777777" w:rsidTr="000E1262">
        <w:tc>
          <w:tcPr>
            <w:tcW w:w="715" w:type="dxa"/>
            <w:shd w:val="clear" w:color="auto" w:fill="B3E5A1" w:themeFill="accent6" w:themeFillTint="66"/>
          </w:tcPr>
          <w:p w14:paraId="05603207" w14:textId="462265D7" w:rsidR="009B5CC5" w:rsidRDefault="009B5CC5" w:rsidP="000E1262">
            <w:pPr>
              <w:jc w:val="center"/>
              <w:rPr>
                <w:b/>
                <w:bCs/>
              </w:rPr>
            </w:pPr>
            <w:r>
              <w:rPr>
                <w:b/>
                <w:bCs/>
              </w:rPr>
              <w:t>4.</w:t>
            </w:r>
          </w:p>
        </w:tc>
        <w:tc>
          <w:tcPr>
            <w:tcW w:w="8635" w:type="dxa"/>
            <w:gridSpan w:val="2"/>
            <w:shd w:val="clear" w:color="auto" w:fill="auto"/>
          </w:tcPr>
          <w:p w14:paraId="566BDCD5" w14:textId="11F4BEC7" w:rsidR="009B5CC5" w:rsidRPr="00A324CD" w:rsidRDefault="00320ABC" w:rsidP="000E1262">
            <w:r>
              <w:t>Perform a systemwide review and gap analysis of Idaho’s deflection and diversion programs or initiatives and their effectiveness.</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1F942CC2" w14:textId="77777777" w:rsidR="00D13852" w:rsidRDefault="00D13852" w:rsidP="00D13852">
            <w:pPr>
              <w:spacing w:after="503"/>
              <w:ind w:left="14" w:right="-288"/>
              <w:contextualSpacing/>
            </w:pPr>
            <w:r>
              <w:t xml:space="preserve">When this system road map is being developed and implemented, common language and critical definitions will be utilized:  </w:t>
            </w:r>
          </w:p>
          <w:p w14:paraId="1285DA75" w14:textId="77777777" w:rsidR="00D13852" w:rsidRDefault="00D13852" w:rsidP="00D13852">
            <w:pPr>
              <w:spacing w:after="503"/>
              <w:ind w:left="14" w:right="-288"/>
              <w:contextualSpacing/>
            </w:pPr>
            <w:r w:rsidRPr="00B46833">
              <w:rPr>
                <w:b/>
                <w:bCs/>
              </w:rPr>
              <w:t>Deflection</w:t>
            </w:r>
            <w:r>
              <w:t xml:space="preserve">: Deflection refers to interventions that occur before an individual enters the formal justice system with the filing of a charge. Deflection is meant to </w:t>
            </w:r>
            <w:r w:rsidRPr="000A29F0">
              <w:rPr>
                <w:u w:val="single"/>
              </w:rPr>
              <w:t>redirect individuals away from arrest and prosecution</w:t>
            </w:r>
            <w:r>
              <w:t xml:space="preserve"> by providing access and requiring completion of programs with supportive services, such as mental health treatment or substance use disorder counseling.</w:t>
            </w:r>
          </w:p>
          <w:p w14:paraId="082E53E5" w14:textId="77777777" w:rsidR="007F2AC4" w:rsidRDefault="00D13852" w:rsidP="00D13852">
            <w:r w:rsidRPr="00B46833">
              <w:rPr>
                <w:b/>
                <w:bCs/>
              </w:rPr>
              <w:t>Diversion</w:t>
            </w:r>
            <w:r>
              <w:t>: Diversion occurs after an individual has entered the criminal justice system following a filing but can occur at multiple system points such as before adjudication, sentencing, and at re-entry. It allows individuals to complete specific requirements which could lead to reduced or dismissed charges or avoiding incarceration.</w:t>
            </w:r>
          </w:p>
          <w:p w14:paraId="7713957A" w14:textId="341A7506" w:rsidR="006E3B90" w:rsidRPr="0047052B" w:rsidRDefault="006E3B90" w:rsidP="00D13852"/>
        </w:tc>
      </w:tr>
      <w:tr w:rsidR="007F2AC4" w:rsidRPr="00BC071B" w14:paraId="023F5BD0" w14:textId="77777777" w:rsidTr="00CB65B5">
        <w:tc>
          <w:tcPr>
            <w:tcW w:w="9350" w:type="dxa"/>
            <w:gridSpan w:val="3"/>
            <w:shd w:val="clear" w:color="auto" w:fill="B3E5A1" w:themeFill="accent6" w:themeFillTint="66"/>
          </w:tcPr>
          <w:p w14:paraId="38752CAB" w14:textId="4021F040" w:rsidR="007F2AC4" w:rsidRPr="00BC071B" w:rsidRDefault="00CB65B5" w:rsidP="00CB65B5">
            <w:pPr>
              <w:jc w:val="center"/>
              <w:rPr>
                <w:b/>
                <w:bCs/>
                <w:sz w:val="28"/>
                <w:szCs w:val="28"/>
              </w:rPr>
            </w:pPr>
            <w:r>
              <w:rPr>
                <w:b/>
                <w:bCs/>
                <w:sz w:val="28"/>
                <w:szCs w:val="28"/>
              </w:rPr>
              <w:lastRenderedPageBreak/>
              <w:t>HIGH-LEVEL RISKS</w:t>
            </w:r>
          </w:p>
        </w:tc>
      </w:tr>
      <w:tr w:rsidR="00A324CD" w:rsidRPr="00BC071B" w14:paraId="6E4A6D2E" w14:textId="77777777" w:rsidTr="000E2812">
        <w:tc>
          <w:tcPr>
            <w:tcW w:w="9350" w:type="dxa"/>
            <w:gridSpan w:val="3"/>
          </w:tcPr>
          <w:p w14:paraId="53B1FD2C" w14:textId="118CB42B" w:rsidR="00A324CD" w:rsidRPr="00BC071B" w:rsidRDefault="00A324CD" w:rsidP="00FD46B8">
            <w:pPr>
              <w:rPr>
                <w:b/>
                <w:bCs/>
                <w:sz w:val="28"/>
                <w:szCs w:val="28"/>
              </w:rPr>
            </w:pPr>
          </w:p>
        </w:tc>
      </w:tr>
    </w:tbl>
    <w:p w14:paraId="3EE14BE4" w14:textId="77777777" w:rsidR="00A324CD" w:rsidRDefault="00A324CD"/>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t>IMPLEMENTATION TEAM MEMBERS</w:t>
            </w:r>
          </w:p>
        </w:tc>
      </w:tr>
      <w:tr w:rsidR="006D1076" w:rsidRPr="00BC071B" w14:paraId="0D40311C" w14:textId="77777777" w:rsidTr="00DC5A56">
        <w:tc>
          <w:tcPr>
            <w:tcW w:w="2335" w:type="dxa"/>
            <w:vAlign w:val="bottom"/>
          </w:tcPr>
          <w:p w14:paraId="24A7ED1D" w14:textId="78627C39" w:rsidR="006D1076" w:rsidRPr="006D1076" w:rsidRDefault="006D1076" w:rsidP="006D1076">
            <w:r w:rsidRPr="006D1076">
              <w:rPr>
                <w:rFonts w:ascii="Aptos Narrow" w:hAnsi="Aptos Narrow"/>
                <w:color w:val="000000"/>
              </w:rPr>
              <w:t>Bree Derr</w:t>
            </w:r>
            <w:r w:rsidR="00F3248E">
              <w:rPr>
                <w:rFonts w:ascii="Aptos Narrow" w:hAnsi="Aptos Narrow"/>
                <w:color w:val="000000"/>
              </w:rPr>
              <w:t>i</w:t>
            </w:r>
            <w:r w:rsidRPr="006D1076">
              <w:rPr>
                <w:rFonts w:ascii="Aptos Narrow" w:hAnsi="Aptos Narrow"/>
                <w:color w:val="000000"/>
              </w:rPr>
              <w:t>c</w:t>
            </w:r>
            <w:r w:rsidR="00F3248E">
              <w:rPr>
                <w:rFonts w:ascii="Aptos Narrow" w:hAnsi="Aptos Narrow"/>
                <w:color w:val="000000"/>
              </w:rPr>
              <w:t>k</w:t>
            </w:r>
          </w:p>
        </w:tc>
        <w:tc>
          <w:tcPr>
            <w:tcW w:w="7015" w:type="dxa"/>
            <w:vAlign w:val="bottom"/>
          </w:tcPr>
          <w:p w14:paraId="594027B5" w14:textId="72D0CAE1" w:rsidR="006D1076" w:rsidRPr="00A32BF4" w:rsidRDefault="006D1076" w:rsidP="006D1076">
            <w:r w:rsidRPr="008C7A3E">
              <w:rPr>
                <w:rFonts w:eastAsia="Times New Roman"/>
                <w:kern w:val="0"/>
                <w14:ligatures w14:val="none"/>
              </w:rPr>
              <w:t>I</w:t>
            </w:r>
            <w:r>
              <w:rPr>
                <w:rFonts w:eastAsia="Times New Roman"/>
                <w:kern w:val="0"/>
                <w14:ligatures w14:val="none"/>
              </w:rPr>
              <w:t xml:space="preserve">daho </w:t>
            </w:r>
            <w:r w:rsidR="00FE735D">
              <w:rPr>
                <w:rFonts w:eastAsia="Times New Roman"/>
                <w:kern w:val="0"/>
                <w14:ligatures w14:val="none"/>
              </w:rPr>
              <w:t>Department of Correction</w:t>
            </w:r>
          </w:p>
        </w:tc>
      </w:tr>
      <w:tr w:rsidR="006D1076" w:rsidRPr="00BC071B" w14:paraId="7D14ED4A" w14:textId="77777777" w:rsidTr="00DC5A56">
        <w:tc>
          <w:tcPr>
            <w:tcW w:w="2335" w:type="dxa"/>
            <w:vAlign w:val="bottom"/>
          </w:tcPr>
          <w:p w14:paraId="56B7E408" w14:textId="3CD3BB5F" w:rsidR="006D1076" w:rsidRPr="006D1076" w:rsidRDefault="006D1076" w:rsidP="006D1076">
            <w:r w:rsidRPr="006D1076">
              <w:rPr>
                <w:rFonts w:ascii="Aptos Narrow" w:hAnsi="Aptos Narrow"/>
                <w:color w:val="000000"/>
              </w:rPr>
              <w:t>Scott Ronan</w:t>
            </w:r>
          </w:p>
        </w:tc>
        <w:tc>
          <w:tcPr>
            <w:tcW w:w="7015" w:type="dxa"/>
            <w:vAlign w:val="bottom"/>
          </w:tcPr>
          <w:p w14:paraId="67B3F041" w14:textId="6282F7AF" w:rsidR="006D1076" w:rsidRPr="00A32BF4" w:rsidRDefault="00FE735D" w:rsidP="006D1076">
            <w:r>
              <w:t>Administrative Office of the Courts</w:t>
            </w:r>
          </w:p>
        </w:tc>
      </w:tr>
      <w:tr w:rsidR="006D1076" w:rsidRPr="00BC071B" w14:paraId="5990D722" w14:textId="77777777" w:rsidTr="00DC5A56">
        <w:tc>
          <w:tcPr>
            <w:tcW w:w="2335" w:type="dxa"/>
            <w:vAlign w:val="bottom"/>
          </w:tcPr>
          <w:p w14:paraId="26E01D81" w14:textId="46A6B229" w:rsidR="006D1076" w:rsidRPr="006D1076" w:rsidRDefault="00F3248E" w:rsidP="006D1076">
            <w:r>
              <w:t>Sandy Jones</w:t>
            </w:r>
          </w:p>
        </w:tc>
        <w:tc>
          <w:tcPr>
            <w:tcW w:w="7015" w:type="dxa"/>
            <w:vAlign w:val="bottom"/>
          </w:tcPr>
          <w:p w14:paraId="7ED8ADCF" w14:textId="0BE80B0B" w:rsidR="006D1076" w:rsidRPr="00A32BF4" w:rsidRDefault="00FE735D" w:rsidP="006D1076">
            <w:r>
              <w:t>Administrative Office of the Courts</w:t>
            </w:r>
          </w:p>
        </w:tc>
      </w:tr>
      <w:tr w:rsidR="006D1076" w:rsidRPr="00BC071B" w14:paraId="03497BBB" w14:textId="77777777" w:rsidTr="00DC5A56">
        <w:tc>
          <w:tcPr>
            <w:tcW w:w="2335" w:type="dxa"/>
            <w:vAlign w:val="bottom"/>
          </w:tcPr>
          <w:p w14:paraId="249A13C9" w14:textId="5B2CEDA8" w:rsidR="006D1076" w:rsidRPr="006D1076" w:rsidRDefault="006D1076" w:rsidP="006D1076">
            <w:r w:rsidRPr="006D1076">
              <w:rPr>
                <w:rFonts w:ascii="Aptos Narrow" w:hAnsi="Aptos Narrow"/>
                <w:color w:val="000000"/>
              </w:rPr>
              <w:t>Paul Shepherd</w:t>
            </w:r>
          </w:p>
        </w:tc>
        <w:tc>
          <w:tcPr>
            <w:tcW w:w="7015" w:type="dxa"/>
            <w:vAlign w:val="bottom"/>
          </w:tcPr>
          <w:p w14:paraId="45F5D718" w14:textId="265278E0" w:rsidR="006D1076" w:rsidRPr="00A32BF4" w:rsidRDefault="006D1076" w:rsidP="006D1076">
            <w:r w:rsidRPr="008C7A3E">
              <w:rPr>
                <w:rFonts w:eastAsia="Times New Roman"/>
                <w:kern w:val="0"/>
                <w14:ligatures w14:val="none"/>
              </w:rPr>
              <w:t xml:space="preserve">Idaho Supreme Court </w:t>
            </w:r>
          </w:p>
        </w:tc>
      </w:tr>
      <w:tr w:rsidR="00FE735D" w:rsidRPr="00BC071B" w14:paraId="78BD84F9" w14:textId="77777777" w:rsidTr="00DC5A56">
        <w:tc>
          <w:tcPr>
            <w:tcW w:w="2335" w:type="dxa"/>
            <w:vAlign w:val="bottom"/>
          </w:tcPr>
          <w:p w14:paraId="3EF98790" w14:textId="72BBF705" w:rsidR="00FE735D" w:rsidRDefault="00FE735D" w:rsidP="006D1076">
            <w:pPr>
              <w:rPr>
                <w:rFonts w:ascii="Aptos Narrow" w:hAnsi="Aptos Narrow"/>
                <w:color w:val="000000"/>
              </w:rPr>
            </w:pPr>
            <w:r>
              <w:rPr>
                <w:rFonts w:ascii="Aptos Narrow" w:hAnsi="Aptos Narrow"/>
                <w:color w:val="000000"/>
              </w:rPr>
              <w:t>Marc Dominguez</w:t>
            </w:r>
          </w:p>
        </w:tc>
        <w:tc>
          <w:tcPr>
            <w:tcW w:w="7015" w:type="dxa"/>
            <w:vAlign w:val="bottom"/>
          </w:tcPr>
          <w:p w14:paraId="05D28824" w14:textId="2A8CB051" w:rsidR="00FE735D" w:rsidRPr="008C7A3E" w:rsidRDefault="00FE735D" w:rsidP="006D1076">
            <w:pPr>
              <w:rPr>
                <w:rFonts w:eastAsia="Times New Roman"/>
                <w:kern w:val="0"/>
                <w14:ligatures w14:val="none"/>
              </w:rPr>
            </w:pPr>
            <w:r w:rsidRPr="008C7A3E">
              <w:rPr>
                <w:rFonts w:eastAsia="Times New Roman"/>
                <w:kern w:val="0"/>
                <w14:ligatures w14:val="none"/>
              </w:rPr>
              <w:t>I</w:t>
            </w:r>
            <w:r>
              <w:rPr>
                <w:rFonts w:eastAsia="Times New Roman"/>
                <w:kern w:val="0"/>
                <w14:ligatures w14:val="none"/>
              </w:rPr>
              <w:t>daho Department of Correction</w:t>
            </w:r>
          </w:p>
        </w:tc>
      </w:tr>
      <w:tr w:rsidR="006D1076" w:rsidRPr="00BC071B" w14:paraId="2D1F3E24" w14:textId="77777777" w:rsidTr="00DC5A56">
        <w:tc>
          <w:tcPr>
            <w:tcW w:w="2335" w:type="dxa"/>
            <w:vAlign w:val="bottom"/>
          </w:tcPr>
          <w:p w14:paraId="351C5767" w14:textId="330469F5" w:rsidR="006D1076" w:rsidRPr="00A32BF4" w:rsidRDefault="006D1076" w:rsidP="006D1076">
            <w:r>
              <w:rPr>
                <w:rFonts w:ascii="Aptos Narrow" w:hAnsi="Aptos Narrow"/>
                <w:color w:val="000000"/>
              </w:rPr>
              <w:t>Kim Hokanson</w:t>
            </w:r>
          </w:p>
        </w:tc>
        <w:tc>
          <w:tcPr>
            <w:tcW w:w="7015" w:type="dxa"/>
            <w:vAlign w:val="bottom"/>
          </w:tcPr>
          <w:p w14:paraId="1B51D32E" w14:textId="6246D718" w:rsidR="006D1076" w:rsidRPr="00A32BF4" w:rsidRDefault="00706551" w:rsidP="006D1076">
            <w:r>
              <w:t>YES, Parent</w:t>
            </w:r>
          </w:p>
        </w:tc>
      </w:tr>
      <w:tr w:rsidR="006D1076" w:rsidRPr="00BC071B" w14:paraId="5004B1C5" w14:textId="77777777" w:rsidTr="00DC5A56">
        <w:tc>
          <w:tcPr>
            <w:tcW w:w="2335" w:type="dxa"/>
            <w:vAlign w:val="bottom"/>
          </w:tcPr>
          <w:p w14:paraId="2A776DB9" w14:textId="7E33B504" w:rsidR="006D1076" w:rsidRPr="00A32BF4" w:rsidRDefault="006D1076" w:rsidP="006D1076">
            <w:r>
              <w:rPr>
                <w:rFonts w:ascii="Aptos Narrow" w:hAnsi="Aptos Narrow"/>
                <w:color w:val="000000"/>
              </w:rPr>
              <w:t>Penelope Hansen</w:t>
            </w:r>
          </w:p>
        </w:tc>
        <w:tc>
          <w:tcPr>
            <w:tcW w:w="7015" w:type="dxa"/>
            <w:vAlign w:val="bottom"/>
          </w:tcPr>
          <w:p w14:paraId="42B90BC1" w14:textId="644801DA" w:rsidR="006D1076" w:rsidRPr="00706551" w:rsidRDefault="00706551" w:rsidP="006D1076">
            <w:pPr>
              <w:rPr>
                <w:rFonts w:ascii="Aptos Narrow" w:hAnsi="Aptos Narrow"/>
                <w:color w:val="000000"/>
              </w:rPr>
            </w:pPr>
            <w:r>
              <w:rPr>
                <w:rFonts w:ascii="Aptos Narrow" w:hAnsi="Aptos Narrow"/>
                <w:color w:val="000000"/>
              </w:rPr>
              <w:t>Boise Police Department</w:t>
            </w:r>
          </w:p>
        </w:tc>
      </w:tr>
      <w:tr w:rsidR="00C14A6C" w:rsidRPr="00BC071B" w14:paraId="18EF8076" w14:textId="77777777" w:rsidTr="00DC5A56">
        <w:tc>
          <w:tcPr>
            <w:tcW w:w="2335" w:type="dxa"/>
            <w:vAlign w:val="bottom"/>
          </w:tcPr>
          <w:p w14:paraId="5F24B76B" w14:textId="00518D2F" w:rsidR="00C14A6C" w:rsidRPr="00C14A6C" w:rsidRDefault="00C14A6C" w:rsidP="00C14A6C">
            <w:r w:rsidRPr="00C14A6C">
              <w:rPr>
                <w:rFonts w:ascii="Aptos Narrow" w:hAnsi="Aptos Narrow"/>
                <w:color w:val="000000"/>
              </w:rPr>
              <w:t>Leahann Romero</w:t>
            </w:r>
          </w:p>
        </w:tc>
        <w:tc>
          <w:tcPr>
            <w:tcW w:w="7015" w:type="dxa"/>
            <w:vAlign w:val="bottom"/>
          </w:tcPr>
          <w:p w14:paraId="1E9D7072" w14:textId="59E11E8F" w:rsidR="00C14A6C" w:rsidRPr="00A32BF4" w:rsidRDefault="00FE735D" w:rsidP="00C14A6C">
            <w:r>
              <w:t>Idaho Department of Juvenile Corrections</w:t>
            </w:r>
          </w:p>
        </w:tc>
      </w:tr>
      <w:tr w:rsidR="00C14A6C" w:rsidRPr="00BC071B" w14:paraId="0A545C89" w14:textId="77777777" w:rsidTr="00DC5A56">
        <w:tc>
          <w:tcPr>
            <w:tcW w:w="2335" w:type="dxa"/>
            <w:vAlign w:val="bottom"/>
          </w:tcPr>
          <w:p w14:paraId="371FE770" w14:textId="53A1F0E1" w:rsidR="00C14A6C" w:rsidRPr="00C14A6C" w:rsidRDefault="00C14A6C" w:rsidP="00C14A6C">
            <w:r w:rsidRPr="00C14A6C">
              <w:rPr>
                <w:rFonts w:ascii="Aptos Narrow" w:hAnsi="Aptos Narrow"/>
                <w:color w:val="000000"/>
              </w:rPr>
              <w:t>Danielle Osgood</w:t>
            </w:r>
          </w:p>
        </w:tc>
        <w:tc>
          <w:tcPr>
            <w:tcW w:w="7015" w:type="dxa"/>
            <w:vAlign w:val="bottom"/>
          </w:tcPr>
          <w:p w14:paraId="5DFE92D8" w14:textId="4E08E8DD" w:rsidR="00C14A6C" w:rsidRPr="00A32BF4" w:rsidRDefault="00FE735D" w:rsidP="00C14A6C">
            <w:r>
              <w:t>Idaho Department of Juvenile Corrections</w:t>
            </w:r>
          </w:p>
        </w:tc>
      </w:tr>
      <w:tr w:rsidR="006D1076" w:rsidRPr="00BC071B" w14:paraId="3B12E61D" w14:textId="77777777" w:rsidTr="00DC5A56">
        <w:tc>
          <w:tcPr>
            <w:tcW w:w="2335" w:type="dxa"/>
            <w:vAlign w:val="bottom"/>
          </w:tcPr>
          <w:p w14:paraId="616EB51B" w14:textId="76B95BDE" w:rsidR="006D1076" w:rsidRPr="00317C3F" w:rsidRDefault="00317C3F" w:rsidP="006D1076">
            <w:pPr>
              <w:rPr>
                <w:rFonts w:ascii="Aptos Narrow" w:hAnsi="Aptos Narrow"/>
                <w:color w:val="000000"/>
              </w:rPr>
            </w:pPr>
            <w:r>
              <w:rPr>
                <w:rFonts w:ascii="Aptos Narrow" w:hAnsi="Aptos Narrow"/>
                <w:color w:val="000000"/>
              </w:rPr>
              <w:t>Erica Marshall</w:t>
            </w:r>
          </w:p>
        </w:tc>
        <w:tc>
          <w:tcPr>
            <w:tcW w:w="7015" w:type="dxa"/>
            <w:vAlign w:val="bottom"/>
          </w:tcPr>
          <w:p w14:paraId="6F26B5A1" w14:textId="66A1A5BE" w:rsidR="006D1076" w:rsidRPr="00A32BF4" w:rsidRDefault="00A27080" w:rsidP="006D1076">
            <w:r w:rsidRPr="00A27080">
              <w:t>Idaho Justice Project</w:t>
            </w:r>
          </w:p>
        </w:tc>
      </w:tr>
      <w:tr w:rsidR="00FE735D" w:rsidRPr="00BC071B" w14:paraId="534C4C41" w14:textId="77777777" w:rsidTr="00DC5A56">
        <w:tc>
          <w:tcPr>
            <w:tcW w:w="2335" w:type="dxa"/>
            <w:vAlign w:val="bottom"/>
          </w:tcPr>
          <w:p w14:paraId="2199A3B6" w14:textId="63FE90BA" w:rsidR="00FE735D" w:rsidRDefault="00FE735D" w:rsidP="006D1076">
            <w:pPr>
              <w:rPr>
                <w:rFonts w:ascii="Aptos Narrow" w:hAnsi="Aptos Narrow"/>
                <w:color w:val="000000"/>
              </w:rPr>
            </w:pPr>
            <w:r>
              <w:rPr>
                <w:rFonts w:ascii="Aptos Narrow" w:hAnsi="Aptos Narrow"/>
                <w:color w:val="000000"/>
              </w:rPr>
              <w:t>Shane Boyle</w:t>
            </w:r>
          </w:p>
        </w:tc>
        <w:tc>
          <w:tcPr>
            <w:tcW w:w="7015" w:type="dxa"/>
            <w:vAlign w:val="bottom"/>
          </w:tcPr>
          <w:p w14:paraId="1E2A2EA6" w14:textId="23F350E5" w:rsidR="00FE735D" w:rsidRPr="008C7A3E" w:rsidRDefault="00FE735D" w:rsidP="006D1076">
            <w:pPr>
              <w:rPr>
                <w:rFonts w:eastAsia="Times New Roman"/>
                <w:kern w:val="0"/>
                <w14:ligatures w14:val="none"/>
              </w:rPr>
            </w:pPr>
            <w:r w:rsidRPr="008C7A3E">
              <w:rPr>
                <w:rFonts w:eastAsia="Times New Roman"/>
                <w:kern w:val="0"/>
                <w14:ligatures w14:val="none"/>
              </w:rPr>
              <w:t>I</w:t>
            </w:r>
            <w:r>
              <w:rPr>
                <w:rFonts w:eastAsia="Times New Roman"/>
                <w:kern w:val="0"/>
                <w14:ligatures w14:val="none"/>
              </w:rPr>
              <w:t>daho Department of Correction</w:t>
            </w:r>
          </w:p>
        </w:tc>
      </w:tr>
      <w:tr w:rsidR="007A5C10" w:rsidRPr="00BC071B" w14:paraId="2DE43BCE" w14:textId="77777777" w:rsidTr="00DC5A56">
        <w:tc>
          <w:tcPr>
            <w:tcW w:w="2335" w:type="dxa"/>
            <w:vAlign w:val="bottom"/>
          </w:tcPr>
          <w:p w14:paraId="5F12AD7E" w14:textId="444F2F45" w:rsidR="007A5C10" w:rsidRPr="00317C3F" w:rsidRDefault="00FE735D" w:rsidP="007A5C10">
            <w:pPr>
              <w:rPr>
                <w:rFonts w:ascii="Aptos Narrow" w:hAnsi="Aptos Narrow"/>
                <w:color w:val="000000"/>
              </w:rPr>
            </w:pPr>
            <w:r w:rsidRPr="00FE735D">
              <w:rPr>
                <w:rFonts w:ascii="Aptos Narrow" w:hAnsi="Aptos Narrow"/>
                <w:color w:val="000000"/>
              </w:rPr>
              <w:t>Sheriff Sam Hulse</w:t>
            </w:r>
          </w:p>
        </w:tc>
        <w:tc>
          <w:tcPr>
            <w:tcW w:w="7015" w:type="dxa"/>
            <w:vAlign w:val="bottom"/>
          </w:tcPr>
          <w:p w14:paraId="6A969522" w14:textId="76FD6FD7" w:rsidR="007A5C10" w:rsidRPr="00A32BF4" w:rsidRDefault="009F4237" w:rsidP="007A5C10">
            <w:r>
              <w:rPr>
                <w:rFonts w:eastAsia="Times New Roman"/>
                <w:kern w:val="0"/>
                <w14:ligatures w14:val="none"/>
              </w:rPr>
              <w:t>Bonneville County Sheriff</w:t>
            </w:r>
          </w:p>
        </w:tc>
      </w:tr>
      <w:tr w:rsidR="009F4237" w:rsidRPr="00BC071B" w14:paraId="0394B176" w14:textId="77777777" w:rsidTr="00DC5A56">
        <w:tc>
          <w:tcPr>
            <w:tcW w:w="2335" w:type="dxa"/>
            <w:vAlign w:val="bottom"/>
          </w:tcPr>
          <w:p w14:paraId="27D70A61" w14:textId="16C02752" w:rsidR="009F4237" w:rsidRPr="00A32BF4" w:rsidRDefault="009F4237" w:rsidP="009F4237">
            <w:r>
              <w:t>Mike Davidson</w:t>
            </w:r>
          </w:p>
        </w:tc>
        <w:tc>
          <w:tcPr>
            <w:tcW w:w="7015" w:type="dxa"/>
            <w:vAlign w:val="bottom"/>
          </w:tcPr>
          <w:p w14:paraId="7FB5FC15" w14:textId="394657BE" w:rsidR="009F4237" w:rsidRPr="00A32BF4" w:rsidRDefault="009F4237" w:rsidP="009F4237">
            <w:r>
              <w:t>Idaho Department of Juvenile Corrections</w:t>
            </w:r>
          </w:p>
        </w:tc>
      </w:tr>
      <w:tr w:rsidR="009F4237" w:rsidRPr="00BC071B" w14:paraId="6DA15FAD" w14:textId="77777777" w:rsidTr="00DC5A56">
        <w:tc>
          <w:tcPr>
            <w:tcW w:w="2335" w:type="dxa"/>
            <w:vAlign w:val="bottom"/>
          </w:tcPr>
          <w:p w14:paraId="7A68AAD8" w14:textId="147B4D44" w:rsidR="009F4237" w:rsidRPr="00A32BF4" w:rsidRDefault="009F4237" w:rsidP="009F4237">
            <w:r>
              <w:t>Shannon Lynch</w:t>
            </w:r>
          </w:p>
        </w:tc>
        <w:tc>
          <w:tcPr>
            <w:tcW w:w="7015" w:type="dxa"/>
            <w:vAlign w:val="bottom"/>
          </w:tcPr>
          <w:p w14:paraId="1C6F1C67" w14:textId="70495998" w:rsidR="009F4237" w:rsidRPr="00A32BF4" w:rsidRDefault="009F4237" w:rsidP="009F4237">
            <w:r>
              <w:t>Idaho State University</w:t>
            </w:r>
          </w:p>
        </w:tc>
      </w:tr>
      <w:tr w:rsidR="00654817" w:rsidRPr="00BC071B" w14:paraId="552F27D2" w14:textId="77777777" w:rsidTr="00DC5A56">
        <w:tc>
          <w:tcPr>
            <w:tcW w:w="2335" w:type="dxa"/>
            <w:vAlign w:val="bottom"/>
          </w:tcPr>
          <w:p w14:paraId="25BE3FDB" w14:textId="02D8205E" w:rsidR="00654817" w:rsidRDefault="00654817" w:rsidP="009F4237">
            <w:r>
              <w:t>Chad</w:t>
            </w:r>
            <w:r w:rsidR="00F57BCE">
              <w:t xml:space="preserve"> Jacobs</w:t>
            </w:r>
          </w:p>
        </w:tc>
        <w:tc>
          <w:tcPr>
            <w:tcW w:w="7015" w:type="dxa"/>
            <w:vAlign w:val="bottom"/>
          </w:tcPr>
          <w:p w14:paraId="0EA46E7B" w14:textId="62347CAF" w:rsidR="00654817" w:rsidRDefault="00282CAE" w:rsidP="009F4237">
            <w:r>
              <w:t>Idaho Department of Juvenile Corrections</w:t>
            </w:r>
          </w:p>
        </w:tc>
      </w:tr>
      <w:tr w:rsidR="009F4237" w:rsidRPr="00BC071B" w14:paraId="25819B3C" w14:textId="77777777" w:rsidTr="00DC5A56">
        <w:tc>
          <w:tcPr>
            <w:tcW w:w="2335" w:type="dxa"/>
            <w:vAlign w:val="bottom"/>
          </w:tcPr>
          <w:p w14:paraId="62E05BE4" w14:textId="02980FAD" w:rsidR="009F4237" w:rsidRPr="00A32BF4" w:rsidRDefault="009F4237" w:rsidP="009F4237">
            <w:r>
              <w:t>Heather Foote</w:t>
            </w:r>
          </w:p>
        </w:tc>
        <w:tc>
          <w:tcPr>
            <w:tcW w:w="7015" w:type="dxa"/>
            <w:vAlign w:val="bottom"/>
          </w:tcPr>
          <w:p w14:paraId="54323755" w14:textId="2220904D" w:rsidR="009F4237" w:rsidRPr="00A32BF4" w:rsidRDefault="009F4237" w:rsidP="009F4237">
            <w:r w:rsidRPr="008C7A3E">
              <w:rPr>
                <w:rFonts w:eastAsia="Times New Roman"/>
                <w:kern w:val="0"/>
                <w14:ligatures w14:val="none"/>
              </w:rPr>
              <w:t>I</w:t>
            </w:r>
            <w:r>
              <w:rPr>
                <w:rFonts w:eastAsia="Times New Roman"/>
                <w:kern w:val="0"/>
                <w14:ligatures w14:val="none"/>
              </w:rPr>
              <w:t>daho Department of Correction</w:t>
            </w:r>
          </w:p>
        </w:tc>
      </w:tr>
      <w:tr w:rsidR="009F4237" w14:paraId="327C549B" w14:textId="77777777" w:rsidTr="00901DD6">
        <w:tc>
          <w:tcPr>
            <w:tcW w:w="2335" w:type="dxa"/>
            <w:vAlign w:val="bottom"/>
          </w:tcPr>
          <w:p w14:paraId="06DCE39E" w14:textId="5E824774" w:rsidR="009F4237" w:rsidRPr="00A32BF4" w:rsidRDefault="009F4237" w:rsidP="009F4237">
            <w:r>
              <w:t>Vito Kelso</w:t>
            </w:r>
          </w:p>
        </w:tc>
        <w:tc>
          <w:tcPr>
            <w:tcW w:w="7015" w:type="dxa"/>
            <w:vAlign w:val="bottom"/>
          </w:tcPr>
          <w:p w14:paraId="6314DD58" w14:textId="07E57699" w:rsidR="009F4237" w:rsidRPr="00A32BF4" w:rsidRDefault="009F4237" w:rsidP="009F4237">
            <w:r>
              <w:t>Southwest District Health</w:t>
            </w:r>
          </w:p>
        </w:tc>
      </w:tr>
      <w:tr w:rsidR="009F4237" w14:paraId="19D65D3A" w14:textId="77777777" w:rsidTr="00901DD6">
        <w:tc>
          <w:tcPr>
            <w:tcW w:w="2335" w:type="dxa"/>
            <w:vAlign w:val="bottom"/>
          </w:tcPr>
          <w:p w14:paraId="06CBF503" w14:textId="761EEA0C" w:rsidR="009F4237" w:rsidRPr="00A32BF4" w:rsidRDefault="009F4237" w:rsidP="009F4237">
            <w:r>
              <w:t>Sherrif Cuyler Stoker</w:t>
            </w:r>
          </w:p>
        </w:tc>
        <w:tc>
          <w:tcPr>
            <w:tcW w:w="7015" w:type="dxa"/>
            <w:vAlign w:val="bottom"/>
          </w:tcPr>
          <w:p w14:paraId="598336B3" w14:textId="2CE81B69" w:rsidR="009F4237" w:rsidRPr="00A32BF4" w:rsidRDefault="00A27080" w:rsidP="009F4237">
            <w:r>
              <w:t>Franklin County Sheriff</w:t>
            </w:r>
          </w:p>
        </w:tc>
      </w:tr>
      <w:tr w:rsidR="009F4237" w14:paraId="01D98C66" w14:textId="77777777" w:rsidTr="00901DD6">
        <w:tc>
          <w:tcPr>
            <w:tcW w:w="2335" w:type="dxa"/>
            <w:vAlign w:val="bottom"/>
          </w:tcPr>
          <w:p w14:paraId="61B371E6" w14:textId="51216821" w:rsidR="009F4237" w:rsidRPr="00A32BF4" w:rsidRDefault="009F4237" w:rsidP="009F4237">
            <w:r>
              <w:t>Allie Rice</w:t>
            </w:r>
          </w:p>
        </w:tc>
        <w:tc>
          <w:tcPr>
            <w:tcW w:w="7015" w:type="dxa"/>
            <w:vAlign w:val="bottom"/>
          </w:tcPr>
          <w:p w14:paraId="3C25667D" w14:textId="4E4643DA" w:rsidR="009F4237" w:rsidRPr="00A32BF4" w:rsidRDefault="009F4237" w:rsidP="009F4237">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996F73" w14:paraId="036478B6" w14:textId="77777777" w:rsidTr="00901DD6">
        <w:tc>
          <w:tcPr>
            <w:tcW w:w="2335" w:type="dxa"/>
            <w:vAlign w:val="bottom"/>
          </w:tcPr>
          <w:p w14:paraId="68F3ECCD" w14:textId="67214A2E" w:rsidR="00996F73" w:rsidRDefault="00996F73" w:rsidP="009F4237">
            <w:r>
              <w:t>Ryan Jolley</w:t>
            </w:r>
          </w:p>
        </w:tc>
        <w:tc>
          <w:tcPr>
            <w:tcW w:w="7015" w:type="dxa"/>
            <w:vAlign w:val="bottom"/>
          </w:tcPr>
          <w:p w14:paraId="70D05547" w14:textId="17573274" w:rsidR="00996F73" w:rsidRPr="008C7A3E" w:rsidRDefault="00996F73" w:rsidP="009F4237">
            <w:pPr>
              <w:rPr>
                <w:rFonts w:eastAsia="Times New Roman"/>
                <w:kern w:val="0"/>
                <w14:ligatures w14:val="none"/>
              </w:rPr>
            </w:pPr>
            <w:r>
              <w:rPr>
                <w:rFonts w:eastAsia="Times New Roman"/>
                <w:kern w:val="0"/>
                <w14:ligatures w14:val="none"/>
              </w:rPr>
              <w:t xml:space="preserve">Bingham County </w:t>
            </w:r>
            <w:r w:rsidR="005E0D42">
              <w:rPr>
                <w:rFonts w:eastAsia="Times New Roman"/>
                <w:kern w:val="0"/>
                <w14:ligatures w14:val="none"/>
              </w:rPr>
              <w:t>Prosecutor</w:t>
            </w:r>
          </w:p>
        </w:tc>
      </w:tr>
      <w:tr w:rsidR="009F4237" w14:paraId="30ADB0A3" w14:textId="77777777" w:rsidTr="00901DD6">
        <w:tc>
          <w:tcPr>
            <w:tcW w:w="2335" w:type="dxa"/>
            <w:vAlign w:val="bottom"/>
          </w:tcPr>
          <w:p w14:paraId="15DA0BE0" w14:textId="64210321" w:rsidR="009F4237" w:rsidRPr="00A32BF4" w:rsidRDefault="009F4237" w:rsidP="009F4237">
            <w:r>
              <w:rPr>
                <w:rFonts w:eastAsia="Times New Roman"/>
                <w:kern w:val="0"/>
                <w14:ligatures w14:val="none"/>
              </w:rPr>
              <w:t>Jake Lakey</w:t>
            </w:r>
          </w:p>
        </w:tc>
        <w:tc>
          <w:tcPr>
            <w:tcW w:w="7015" w:type="dxa"/>
            <w:vAlign w:val="bottom"/>
          </w:tcPr>
          <w:p w14:paraId="690645B9" w14:textId="2241BE02" w:rsidR="009F4237" w:rsidRPr="00A32BF4" w:rsidRDefault="00C9000A" w:rsidP="009F4237">
            <w:r>
              <w:rPr>
                <w:rFonts w:eastAsia="Times New Roman"/>
                <w:kern w:val="0"/>
                <w14:ligatures w14:val="none"/>
              </w:rPr>
              <w:t>Idaho Department of Correction</w:t>
            </w:r>
          </w:p>
        </w:tc>
      </w:tr>
      <w:tr w:rsidR="009F4237" w14:paraId="29109DF2" w14:textId="77777777" w:rsidTr="00901DD6">
        <w:tc>
          <w:tcPr>
            <w:tcW w:w="2335" w:type="dxa"/>
            <w:vAlign w:val="bottom"/>
          </w:tcPr>
          <w:p w14:paraId="782D2117" w14:textId="2E99E844" w:rsidR="009F4237" w:rsidRPr="00A32BF4" w:rsidRDefault="009F4237" w:rsidP="009F4237">
            <w:r>
              <w:t>Kristin Green</w:t>
            </w:r>
          </w:p>
        </w:tc>
        <w:tc>
          <w:tcPr>
            <w:tcW w:w="7015" w:type="dxa"/>
            <w:vAlign w:val="bottom"/>
          </w:tcPr>
          <w:p w14:paraId="765B5674" w14:textId="3D0DBDB0" w:rsidR="009F4237" w:rsidRPr="00A32BF4" w:rsidRDefault="00654817" w:rsidP="009F4237">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9F4237" w14:paraId="002BD6BE" w14:textId="77777777" w:rsidTr="00901DD6">
        <w:tc>
          <w:tcPr>
            <w:tcW w:w="2335" w:type="dxa"/>
            <w:vAlign w:val="bottom"/>
          </w:tcPr>
          <w:p w14:paraId="29AEB0E6" w14:textId="618549DB" w:rsidR="009F4237" w:rsidRPr="00A32BF4" w:rsidRDefault="009F4237" w:rsidP="009F4237">
            <w:r>
              <w:t>Dani Peri</w:t>
            </w:r>
          </w:p>
        </w:tc>
        <w:tc>
          <w:tcPr>
            <w:tcW w:w="7015" w:type="dxa"/>
            <w:vAlign w:val="bottom"/>
          </w:tcPr>
          <w:p w14:paraId="2DC52BBE" w14:textId="4C2D203F" w:rsidR="009F4237" w:rsidRPr="00A32BF4" w:rsidRDefault="009F4237" w:rsidP="009F4237">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A27080" w14:paraId="2113F97B" w14:textId="77777777" w:rsidTr="00901DD6">
        <w:tc>
          <w:tcPr>
            <w:tcW w:w="2335" w:type="dxa"/>
            <w:vAlign w:val="bottom"/>
          </w:tcPr>
          <w:p w14:paraId="373B41E7" w14:textId="72001FD3" w:rsidR="00A27080" w:rsidRPr="00A32BF4" w:rsidRDefault="00A27080" w:rsidP="00A27080">
            <w:r>
              <w:t>Joe Langan</w:t>
            </w:r>
          </w:p>
        </w:tc>
        <w:tc>
          <w:tcPr>
            <w:tcW w:w="7015" w:type="dxa"/>
            <w:vAlign w:val="bottom"/>
          </w:tcPr>
          <w:p w14:paraId="775C0AB7" w14:textId="778EA1AC" w:rsidR="00A27080" w:rsidRPr="00A32BF4" w:rsidRDefault="00A27080" w:rsidP="00A27080">
            <w:r>
              <w:t>Idaho Department of Juvenile Corrections</w:t>
            </w:r>
          </w:p>
        </w:tc>
      </w:tr>
      <w:tr w:rsidR="00A27080" w14:paraId="7DA1C2C0" w14:textId="77777777" w:rsidTr="00003713">
        <w:tc>
          <w:tcPr>
            <w:tcW w:w="9350" w:type="dxa"/>
            <w:gridSpan w:val="2"/>
            <w:shd w:val="clear" w:color="auto" w:fill="B3E5A1" w:themeFill="accent6" w:themeFillTint="66"/>
          </w:tcPr>
          <w:p w14:paraId="6E0980DE" w14:textId="7B133988" w:rsidR="00A27080" w:rsidRPr="00003713" w:rsidRDefault="00A27080" w:rsidP="00A27080">
            <w:pPr>
              <w:jc w:val="center"/>
            </w:pPr>
            <w:r w:rsidRPr="00003713">
              <w:rPr>
                <w:b/>
                <w:bCs/>
                <w:sz w:val="28"/>
                <w:szCs w:val="28"/>
              </w:rPr>
              <w:t>ADMINISTRATION</w:t>
            </w:r>
          </w:p>
        </w:tc>
      </w:tr>
      <w:tr w:rsidR="00A27080" w14:paraId="35BEE7F1" w14:textId="77777777" w:rsidTr="007F2AC4">
        <w:tc>
          <w:tcPr>
            <w:tcW w:w="2335" w:type="dxa"/>
            <w:shd w:val="clear" w:color="auto" w:fill="B3E5A1" w:themeFill="accent6" w:themeFillTint="66"/>
          </w:tcPr>
          <w:p w14:paraId="41B93490" w14:textId="77777777" w:rsidR="00A27080" w:rsidRPr="007F2AC4" w:rsidRDefault="00A27080" w:rsidP="00A27080">
            <w:pPr>
              <w:rPr>
                <w:b/>
                <w:bCs/>
              </w:rPr>
            </w:pPr>
            <w:r w:rsidRPr="007F2AC4">
              <w:rPr>
                <w:b/>
                <w:bCs/>
              </w:rPr>
              <w:t>Meeting Cadence</w:t>
            </w:r>
          </w:p>
        </w:tc>
        <w:tc>
          <w:tcPr>
            <w:tcW w:w="7015" w:type="dxa"/>
          </w:tcPr>
          <w:p w14:paraId="7922590B" w14:textId="4E40341D" w:rsidR="00A27080" w:rsidRDefault="00C9000A" w:rsidP="00C9000A">
            <w:r>
              <w:t>Quarterly</w:t>
            </w:r>
            <w:r w:rsidR="004B2E88">
              <w:t xml:space="preserve">, </w:t>
            </w:r>
            <w:proofErr w:type="gramStart"/>
            <w:r w:rsidR="004B2E88">
              <w:t>Not</w:t>
            </w:r>
            <w:proofErr w:type="gramEnd"/>
            <w:r w:rsidR="004B2E88">
              <w:t xml:space="preserve"> on Fridays</w:t>
            </w:r>
          </w:p>
        </w:tc>
      </w:tr>
      <w:tr w:rsidR="00A27080" w14:paraId="13214B6B" w14:textId="77777777" w:rsidTr="007F2AC4">
        <w:tc>
          <w:tcPr>
            <w:tcW w:w="2335" w:type="dxa"/>
            <w:shd w:val="clear" w:color="auto" w:fill="B3E5A1" w:themeFill="accent6" w:themeFillTint="66"/>
          </w:tcPr>
          <w:p w14:paraId="77D4E695" w14:textId="52E45ECB" w:rsidR="00A27080" w:rsidRPr="007F2AC4" w:rsidRDefault="00A27080" w:rsidP="00A27080">
            <w:pPr>
              <w:rPr>
                <w:b/>
                <w:bCs/>
              </w:rPr>
            </w:pPr>
            <w:r w:rsidRPr="007F2AC4">
              <w:rPr>
                <w:b/>
                <w:bCs/>
              </w:rPr>
              <w:t>Communication</w:t>
            </w:r>
            <w:r>
              <w:rPr>
                <w:b/>
                <w:bCs/>
              </w:rPr>
              <w:t xml:space="preserve"> </w:t>
            </w:r>
          </w:p>
        </w:tc>
        <w:tc>
          <w:tcPr>
            <w:tcW w:w="7015" w:type="dxa"/>
          </w:tcPr>
          <w:p w14:paraId="3D9EE0C2" w14:textId="2AB2779A" w:rsidR="00A27080" w:rsidRDefault="00A27080" w:rsidP="00E340DE">
            <w:r w:rsidRPr="00581A45">
              <w:rPr>
                <w:rFonts w:ascii="Aptos" w:eastAsia="Calibri" w:hAnsi="Aptos" w:cs="Calibri"/>
                <w:color w:val="000000"/>
              </w:rPr>
              <w:t xml:space="preserve"> </w:t>
            </w:r>
          </w:p>
        </w:tc>
      </w:tr>
      <w:tr w:rsidR="00A27080" w14:paraId="44A23ED3" w14:textId="77777777" w:rsidTr="007F2AC4">
        <w:tc>
          <w:tcPr>
            <w:tcW w:w="2335" w:type="dxa"/>
            <w:shd w:val="clear" w:color="auto" w:fill="B3E5A1" w:themeFill="accent6" w:themeFillTint="66"/>
          </w:tcPr>
          <w:p w14:paraId="7F5712A5" w14:textId="5E5CBCAE" w:rsidR="00A27080" w:rsidRPr="007F2AC4" w:rsidRDefault="00A27080" w:rsidP="00A27080">
            <w:pPr>
              <w:rPr>
                <w:b/>
                <w:bCs/>
              </w:rPr>
            </w:pPr>
            <w:r w:rsidRPr="007F2AC4">
              <w:rPr>
                <w:b/>
                <w:bCs/>
              </w:rPr>
              <w:t>Amendment Process</w:t>
            </w:r>
          </w:p>
        </w:tc>
        <w:tc>
          <w:tcPr>
            <w:tcW w:w="7015" w:type="dxa"/>
          </w:tcPr>
          <w:p w14:paraId="4A734EC9" w14:textId="77777777" w:rsidR="00A27080" w:rsidRDefault="00A27080" w:rsidP="00E340DE"/>
        </w:tc>
      </w:tr>
      <w:tr w:rsidR="00A27080" w14:paraId="47246438" w14:textId="77777777" w:rsidTr="007F2AC4">
        <w:tc>
          <w:tcPr>
            <w:tcW w:w="2335" w:type="dxa"/>
            <w:shd w:val="clear" w:color="auto" w:fill="B3E5A1" w:themeFill="accent6" w:themeFillTint="66"/>
          </w:tcPr>
          <w:p w14:paraId="05B0B4A6" w14:textId="7B398181" w:rsidR="00A27080" w:rsidRPr="007F2AC4" w:rsidRDefault="00A27080" w:rsidP="00A27080">
            <w:pPr>
              <w:rPr>
                <w:b/>
                <w:bCs/>
              </w:rPr>
            </w:pPr>
            <w:r>
              <w:rPr>
                <w:b/>
                <w:bCs/>
              </w:rPr>
              <w:t xml:space="preserve">Dates </w:t>
            </w:r>
            <w:r w:rsidRPr="007F2AC4">
              <w:rPr>
                <w:b/>
                <w:bCs/>
              </w:rPr>
              <w:t>Amend</w:t>
            </w:r>
            <w:r>
              <w:rPr>
                <w:b/>
                <w:bCs/>
              </w:rPr>
              <w:t>ed</w:t>
            </w:r>
          </w:p>
        </w:tc>
        <w:tc>
          <w:tcPr>
            <w:tcW w:w="7015" w:type="dxa"/>
          </w:tcPr>
          <w:p w14:paraId="670F0AF6" w14:textId="77777777" w:rsidR="00A27080" w:rsidRDefault="00A27080" w:rsidP="00A27080"/>
        </w:tc>
      </w:tr>
    </w:tbl>
    <w:p w14:paraId="1F50FB46" w14:textId="77777777" w:rsidR="00C947C7" w:rsidRPr="00C947C7" w:rsidRDefault="00C947C7" w:rsidP="003A69F4"/>
    <w:sectPr w:rsidR="00C947C7" w:rsidRPr="00C947C7" w:rsidSect="00D64837">
      <w:headerReference w:type="default" r:id="rId10"/>
      <w:footerReference w:type="default" r:id="rId11"/>
      <w:headerReference w:type="first" r:id="rId12"/>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D5BB" w14:textId="77777777" w:rsidR="0092317A" w:rsidRDefault="0092317A" w:rsidP="00A32BF9">
      <w:pPr>
        <w:spacing w:after="0" w:line="240" w:lineRule="auto"/>
      </w:pPr>
      <w:r>
        <w:separator/>
      </w:r>
    </w:p>
  </w:endnote>
  <w:endnote w:type="continuationSeparator" w:id="0">
    <w:p w14:paraId="05A6A1BF" w14:textId="77777777" w:rsidR="0092317A" w:rsidRDefault="0092317A"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799E" w14:textId="77777777" w:rsidR="0092317A" w:rsidRDefault="0092317A" w:rsidP="00A32BF9">
      <w:pPr>
        <w:spacing w:after="0" w:line="240" w:lineRule="auto"/>
      </w:pPr>
      <w:r>
        <w:separator/>
      </w:r>
    </w:p>
  </w:footnote>
  <w:footnote w:type="continuationSeparator" w:id="0">
    <w:p w14:paraId="2B9055DD" w14:textId="77777777" w:rsidR="0092317A" w:rsidRDefault="0092317A"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61312" behindDoc="0" locked="0" layoutInCell="1" allowOverlap="1" wp14:anchorId="6D71BA69" wp14:editId="460C1A0B">
          <wp:simplePos x="0" y="0"/>
          <wp:positionH relativeFrom="column">
            <wp:posOffset>2308860</wp:posOffset>
          </wp:positionH>
          <wp:positionV relativeFrom="paragraph">
            <wp:posOffset>-297180</wp:posOffset>
          </wp:positionV>
          <wp:extent cx="1356360" cy="135636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5C7"/>
    <w:multiLevelType w:val="multilevel"/>
    <w:tmpl w:val="CBA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E1A0D"/>
    <w:multiLevelType w:val="multilevel"/>
    <w:tmpl w:val="543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242B5"/>
    <w:multiLevelType w:val="multilevel"/>
    <w:tmpl w:val="9BB6F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7D56"/>
    <w:multiLevelType w:val="multilevel"/>
    <w:tmpl w:val="3A0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83477">
    <w:abstractNumId w:val="4"/>
  </w:num>
  <w:num w:numId="2" w16cid:durableId="628586001">
    <w:abstractNumId w:val="3"/>
  </w:num>
  <w:num w:numId="3" w16cid:durableId="425537801">
    <w:abstractNumId w:val="2"/>
  </w:num>
  <w:num w:numId="4" w16cid:durableId="733820835">
    <w:abstractNumId w:val="5"/>
  </w:num>
  <w:num w:numId="5" w16cid:durableId="1221984673">
    <w:abstractNumId w:val="0"/>
  </w:num>
  <w:num w:numId="6" w16cid:durableId="18941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E3E"/>
    <w:rsid w:val="00014FDE"/>
    <w:rsid w:val="000276C6"/>
    <w:rsid w:val="00036D51"/>
    <w:rsid w:val="00062605"/>
    <w:rsid w:val="00064314"/>
    <w:rsid w:val="00087401"/>
    <w:rsid w:val="000A29F0"/>
    <w:rsid w:val="000C687A"/>
    <w:rsid w:val="000D417D"/>
    <w:rsid w:val="000D5ECB"/>
    <w:rsid w:val="000E1262"/>
    <w:rsid w:val="000F1785"/>
    <w:rsid w:val="0018229E"/>
    <w:rsid w:val="0018422D"/>
    <w:rsid w:val="001A735B"/>
    <w:rsid w:val="001B6F1B"/>
    <w:rsid w:val="001B7DF0"/>
    <w:rsid w:val="001D5D01"/>
    <w:rsid w:val="001E3B19"/>
    <w:rsid w:val="00205F2C"/>
    <w:rsid w:val="00253B5C"/>
    <w:rsid w:val="00282CAE"/>
    <w:rsid w:val="002C47A6"/>
    <w:rsid w:val="002F07DE"/>
    <w:rsid w:val="002F67A9"/>
    <w:rsid w:val="00317C3F"/>
    <w:rsid w:val="00320ABC"/>
    <w:rsid w:val="003262DC"/>
    <w:rsid w:val="00327C19"/>
    <w:rsid w:val="003329E3"/>
    <w:rsid w:val="0034051B"/>
    <w:rsid w:val="0036352B"/>
    <w:rsid w:val="00393EA2"/>
    <w:rsid w:val="003A69F4"/>
    <w:rsid w:val="00426632"/>
    <w:rsid w:val="00434C4C"/>
    <w:rsid w:val="00457B1D"/>
    <w:rsid w:val="0047052B"/>
    <w:rsid w:val="00475DE2"/>
    <w:rsid w:val="004A45BB"/>
    <w:rsid w:val="004A732E"/>
    <w:rsid w:val="004B1B35"/>
    <w:rsid w:val="004B2E88"/>
    <w:rsid w:val="004D51DA"/>
    <w:rsid w:val="004F2AE6"/>
    <w:rsid w:val="00542446"/>
    <w:rsid w:val="00581A45"/>
    <w:rsid w:val="00587BC3"/>
    <w:rsid w:val="0059075E"/>
    <w:rsid w:val="005B39E8"/>
    <w:rsid w:val="005C55D4"/>
    <w:rsid w:val="005E0D42"/>
    <w:rsid w:val="005E6262"/>
    <w:rsid w:val="00631DA3"/>
    <w:rsid w:val="00654817"/>
    <w:rsid w:val="006619D6"/>
    <w:rsid w:val="00681A35"/>
    <w:rsid w:val="006D1076"/>
    <w:rsid w:val="006E3B90"/>
    <w:rsid w:val="006E3F8D"/>
    <w:rsid w:val="006F0F65"/>
    <w:rsid w:val="00706551"/>
    <w:rsid w:val="00724D54"/>
    <w:rsid w:val="0073144A"/>
    <w:rsid w:val="00750045"/>
    <w:rsid w:val="00753ACB"/>
    <w:rsid w:val="00783925"/>
    <w:rsid w:val="007A5C10"/>
    <w:rsid w:val="007F2AC4"/>
    <w:rsid w:val="00807070"/>
    <w:rsid w:val="00812C58"/>
    <w:rsid w:val="008233B7"/>
    <w:rsid w:val="008444D5"/>
    <w:rsid w:val="008764C7"/>
    <w:rsid w:val="008E6FCC"/>
    <w:rsid w:val="00903BB7"/>
    <w:rsid w:val="0092317A"/>
    <w:rsid w:val="0092385D"/>
    <w:rsid w:val="00934380"/>
    <w:rsid w:val="009653D3"/>
    <w:rsid w:val="009862F4"/>
    <w:rsid w:val="00996F73"/>
    <w:rsid w:val="009A47D9"/>
    <w:rsid w:val="009B5CC5"/>
    <w:rsid w:val="009C45C8"/>
    <w:rsid w:val="009F4237"/>
    <w:rsid w:val="00A156D7"/>
    <w:rsid w:val="00A27080"/>
    <w:rsid w:val="00A324CD"/>
    <w:rsid w:val="00A32BF4"/>
    <w:rsid w:val="00A32BF9"/>
    <w:rsid w:val="00A33325"/>
    <w:rsid w:val="00A51BB8"/>
    <w:rsid w:val="00A77A4E"/>
    <w:rsid w:val="00AC1FBD"/>
    <w:rsid w:val="00AE328F"/>
    <w:rsid w:val="00AE38D7"/>
    <w:rsid w:val="00B46833"/>
    <w:rsid w:val="00B90481"/>
    <w:rsid w:val="00BC00E1"/>
    <w:rsid w:val="00BC5153"/>
    <w:rsid w:val="00BE13EF"/>
    <w:rsid w:val="00BE29AF"/>
    <w:rsid w:val="00BF43B7"/>
    <w:rsid w:val="00C14A6C"/>
    <w:rsid w:val="00C265D1"/>
    <w:rsid w:val="00C331B4"/>
    <w:rsid w:val="00C64BD0"/>
    <w:rsid w:val="00C9000A"/>
    <w:rsid w:val="00C947C7"/>
    <w:rsid w:val="00C96FBF"/>
    <w:rsid w:val="00CA10CC"/>
    <w:rsid w:val="00CA44F8"/>
    <w:rsid w:val="00CB65B5"/>
    <w:rsid w:val="00CD5547"/>
    <w:rsid w:val="00D068DD"/>
    <w:rsid w:val="00D13852"/>
    <w:rsid w:val="00D164E4"/>
    <w:rsid w:val="00D50CEB"/>
    <w:rsid w:val="00D52450"/>
    <w:rsid w:val="00D64837"/>
    <w:rsid w:val="00D67F19"/>
    <w:rsid w:val="00DB2A4B"/>
    <w:rsid w:val="00DB4A16"/>
    <w:rsid w:val="00DC0144"/>
    <w:rsid w:val="00DC2140"/>
    <w:rsid w:val="00E11AE2"/>
    <w:rsid w:val="00E17BB5"/>
    <w:rsid w:val="00E207D9"/>
    <w:rsid w:val="00E23292"/>
    <w:rsid w:val="00E26DFB"/>
    <w:rsid w:val="00E340DE"/>
    <w:rsid w:val="00E43243"/>
    <w:rsid w:val="00E5309A"/>
    <w:rsid w:val="00E64A02"/>
    <w:rsid w:val="00E77FE2"/>
    <w:rsid w:val="00E94AE7"/>
    <w:rsid w:val="00EC4F1D"/>
    <w:rsid w:val="00EE79A8"/>
    <w:rsid w:val="00F3248E"/>
    <w:rsid w:val="00F3304D"/>
    <w:rsid w:val="00F36A80"/>
    <w:rsid w:val="00F57BCE"/>
    <w:rsid w:val="00F82A8D"/>
    <w:rsid w:val="00FE2A91"/>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5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5643">
      <w:bodyDiv w:val="1"/>
      <w:marLeft w:val="0"/>
      <w:marRight w:val="0"/>
      <w:marTop w:val="0"/>
      <w:marBottom w:val="0"/>
      <w:divBdr>
        <w:top w:val="none" w:sz="0" w:space="0" w:color="auto"/>
        <w:left w:val="none" w:sz="0" w:space="0" w:color="auto"/>
        <w:bottom w:val="none" w:sz="0" w:space="0" w:color="auto"/>
        <w:right w:val="none" w:sz="0" w:space="0" w:color="auto"/>
      </w:divBdr>
    </w:div>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558907346">
      <w:bodyDiv w:val="1"/>
      <w:marLeft w:val="0"/>
      <w:marRight w:val="0"/>
      <w:marTop w:val="0"/>
      <w:marBottom w:val="0"/>
      <w:divBdr>
        <w:top w:val="none" w:sz="0" w:space="0" w:color="auto"/>
        <w:left w:val="none" w:sz="0" w:space="0" w:color="auto"/>
        <w:bottom w:val="none" w:sz="0" w:space="0" w:color="auto"/>
        <w:right w:val="none" w:sz="0" w:space="0" w:color="auto"/>
      </w:divBdr>
    </w:div>
    <w:div w:id="948969022">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409842061">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 w:id="20793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2ECE473B-62ED-46B0-B7A0-B41DDBBA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3</cp:revision>
  <dcterms:created xsi:type="dcterms:W3CDTF">2025-05-21T20:22:00Z</dcterms:created>
  <dcterms:modified xsi:type="dcterms:W3CDTF">2025-06-18T19:08:00Z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