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40A3" w14:textId="77777777" w:rsidR="00A32BF9" w:rsidRPr="00A32BF9" w:rsidRDefault="00A32BF9" w:rsidP="00C947C7">
      <w:pPr>
        <w:jc w:val="center"/>
        <w:rPr>
          <w:b/>
          <w:bCs/>
          <w:sz w:val="18"/>
          <w:szCs w:val="18"/>
        </w:rPr>
      </w:pPr>
    </w:p>
    <w:p w14:paraId="2AD1A121" w14:textId="70A6AADC" w:rsidR="00E26DFB" w:rsidRPr="00A32BF9" w:rsidRDefault="00400A91" w:rsidP="00C947C7">
      <w:pPr>
        <w:jc w:val="center"/>
        <w:rPr>
          <w:b/>
          <w:bCs/>
          <w:sz w:val="40"/>
          <w:szCs w:val="40"/>
        </w:rPr>
      </w:pPr>
      <w:r>
        <w:rPr>
          <w:b/>
          <w:bCs/>
          <w:sz w:val="40"/>
          <w:szCs w:val="40"/>
        </w:rPr>
        <w:t>Competency Restoration</w:t>
      </w:r>
    </w:p>
    <w:tbl>
      <w:tblPr>
        <w:tblStyle w:val="TableGrid"/>
        <w:tblW w:w="0" w:type="auto"/>
        <w:tblLook w:val="04A0" w:firstRow="1" w:lastRow="0" w:firstColumn="1" w:lastColumn="0" w:noHBand="0" w:noVBand="1"/>
      </w:tblPr>
      <w:tblGrid>
        <w:gridCol w:w="9350"/>
      </w:tblGrid>
      <w:tr w:rsidR="00A32BF9" w14:paraId="1639BEB1" w14:textId="77777777" w:rsidTr="00A32BF9">
        <w:tc>
          <w:tcPr>
            <w:tcW w:w="9350" w:type="dxa"/>
          </w:tcPr>
          <w:p w14:paraId="471F48D4" w14:textId="3808CDB4" w:rsidR="00A32BF9" w:rsidRDefault="00400A91">
            <w:r>
              <w:t>Treatment</w:t>
            </w:r>
            <w:r w:rsidR="00A32BF9">
              <w:t xml:space="preserve"> #</w:t>
            </w:r>
            <w:r>
              <w:t>5</w:t>
            </w:r>
            <w:r w:rsidR="00A32BF9">
              <w:t xml:space="preserve">: </w:t>
            </w:r>
            <w:r w:rsidR="009B4C80">
              <w:t>Review and reform the competency restoration process for adults (18-211/212 and juveniles.</w:t>
            </w:r>
          </w:p>
        </w:tc>
      </w:tr>
    </w:tbl>
    <w:p w14:paraId="40553F54" w14:textId="77777777" w:rsidR="00014FDE" w:rsidRDefault="00014FDE"/>
    <w:tbl>
      <w:tblPr>
        <w:tblStyle w:val="TableGrid"/>
        <w:tblW w:w="0" w:type="auto"/>
        <w:tblLook w:val="04A0" w:firstRow="1" w:lastRow="0" w:firstColumn="1" w:lastColumn="0" w:noHBand="0" w:noVBand="1"/>
      </w:tblPr>
      <w:tblGrid>
        <w:gridCol w:w="715"/>
        <w:gridCol w:w="1350"/>
        <w:gridCol w:w="7285"/>
      </w:tblGrid>
      <w:tr w:rsidR="000E1262" w14:paraId="2BAC0FC7" w14:textId="77777777" w:rsidTr="00FB6BF5">
        <w:tc>
          <w:tcPr>
            <w:tcW w:w="9350" w:type="dxa"/>
            <w:gridSpan w:val="3"/>
            <w:shd w:val="clear" w:color="auto" w:fill="B3E5A1" w:themeFill="accent6" w:themeFillTint="66"/>
          </w:tcPr>
          <w:p w14:paraId="216B47BE"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8764C7" w14:paraId="0BD62386" w14:textId="77777777" w:rsidTr="008764C7">
        <w:tc>
          <w:tcPr>
            <w:tcW w:w="2065" w:type="dxa"/>
            <w:gridSpan w:val="2"/>
            <w:shd w:val="clear" w:color="auto" w:fill="B3E5A1" w:themeFill="accent6" w:themeFillTint="66"/>
          </w:tcPr>
          <w:p w14:paraId="7EB8CB3A" w14:textId="51E420B4" w:rsidR="008764C7" w:rsidRDefault="008764C7" w:rsidP="00FD46B8">
            <w:pPr>
              <w:rPr>
                <w:b/>
                <w:bCs/>
              </w:rPr>
            </w:pPr>
            <w:r>
              <w:rPr>
                <w:b/>
                <w:bCs/>
              </w:rPr>
              <w:t>Project Sponsors</w:t>
            </w:r>
          </w:p>
        </w:tc>
        <w:tc>
          <w:tcPr>
            <w:tcW w:w="7285" w:type="dxa"/>
          </w:tcPr>
          <w:p w14:paraId="12596DCE" w14:textId="3801BD52" w:rsidR="008764C7" w:rsidRDefault="00CD3853" w:rsidP="00FD46B8">
            <w:r>
              <w:t>Deena Layne</w:t>
            </w:r>
            <w:r w:rsidR="008764C7">
              <w:t xml:space="preserve">, </w:t>
            </w:r>
            <w:r>
              <w:t>ISC</w:t>
            </w:r>
            <w:r w:rsidR="008764C7">
              <w:t xml:space="preserve"> and Ross Edmunds, IDHW</w:t>
            </w:r>
          </w:p>
        </w:tc>
      </w:tr>
      <w:tr w:rsidR="00A32BF9" w14:paraId="34FA92CD" w14:textId="77777777" w:rsidTr="008764C7">
        <w:tc>
          <w:tcPr>
            <w:tcW w:w="2065" w:type="dxa"/>
            <w:gridSpan w:val="2"/>
            <w:shd w:val="clear" w:color="auto" w:fill="B3E5A1" w:themeFill="accent6" w:themeFillTint="66"/>
          </w:tcPr>
          <w:p w14:paraId="02E61146" w14:textId="77777777" w:rsidR="00A32BF9" w:rsidRDefault="00A32BF9" w:rsidP="00FD46B8">
            <w:pPr>
              <w:rPr>
                <w:b/>
                <w:bCs/>
              </w:rPr>
            </w:pPr>
            <w:r>
              <w:rPr>
                <w:b/>
                <w:bCs/>
              </w:rPr>
              <w:t>Team Chair(s)</w:t>
            </w:r>
          </w:p>
        </w:tc>
        <w:tc>
          <w:tcPr>
            <w:tcW w:w="7285" w:type="dxa"/>
          </w:tcPr>
          <w:p w14:paraId="4F3164F3" w14:textId="5CEFCD33" w:rsidR="00A32BF9" w:rsidRDefault="0007577E" w:rsidP="00FD46B8">
            <w:pPr>
              <w:rPr>
                <w:b/>
                <w:bCs/>
              </w:rPr>
            </w:pPr>
            <w:r>
              <w:t xml:space="preserve">Jennifer Burlage, </w:t>
            </w:r>
            <w:r w:rsidR="00166409">
              <w:t>Laura Treat</w:t>
            </w:r>
          </w:p>
        </w:tc>
      </w:tr>
      <w:tr w:rsidR="00A32BF9" w14:paraId="42EA6239" w14:textId="77777777" w:rsidTr="008764C7">
        <w:tc>
          <w:tcPr>
            <w:tcW w:w="2065" w:type="dxa"/>
            <w:gridSpan w:val="2"/>
            <w:shd w:val="clear" w:color="auto" w:fill="B3E5A1" w:themeFill="accent6" w:themeFillTint="66"/>
          </w:tcPr>
          <w:p w14:paraId="0BDE88C2" w14:textId="77777777" w:rsidR="00A32BF9" w:rsidRDefault="00A32BF9" w:rsidP="00FD46B8">
            <w:pPr>
              <w:rPr>
                <w:b/>
                <w:bCs/>
              </w:rPr>
            </w:pPr>
            <w:r>
              <w:rPr>
                <w:b/>
                <w:bCs/>
              </w:rPr>
              <w:t>Team Reporter</w:t>
            </w:r>
          </w:p>
        </w:tc>
        <w:tc>
          <w:tcPr>
            <w:tcW w:w="7285" w:type="dxa"/>
          </w:tcPr>
          <w:p w14:paraId="73313C7C" w14:textId="1B6EC806" w:rsidR="00A32BF9" w:rsidRPr="009862F4" w:rsidRDefault="0007577E" w:rsidP="00FD46B8">
            <w:r>
              <w:t>Gina Westcott</w:t>
            </w:r>
          </w:p>
        </w:tc>
      </w:tr>
      <w:tr w:rsidR="000E1262" w14:paraId="2CF963BF" w14:textId="77777777" w:rsidTr="000E1262">
        <w:tc>
          <w:tcPr>
            <w:tcW w:w="9350" w:type="dxa"/>
            <w:gridSpan w:val="3"/>
            <w:shd w:val="clear" w:color="auto" w:fill="B3E5A1" w:themeFill="accent6" w:themeFillTint="66"/>
          </w:tcPr>
          <w:p w14:paraId="135B347D" w14:textId="77777777" w:rsidR="000E1262" w:rsidRPr="000E1262" w:rsidRDefault="000E1262" w:rsidP="000E1262">
            <w:pPr>
              <w:jc w:val="center"/>
              <w:rPr>
                <w:b/>
                <w:bCs/>
              </w:rPr>
            </w:pPr>
            <w:r w:rsidRPr="000E1262">
              <w:rPr>
                <w:b/>
                <w:bCs/>
                <w:sz w:val="28"/>
                <w:szCs w:val="28"/>
              </w:rPr>
              <w:t>PURPOSE</w:t>
            </w:r>
          </w:p>
        </w:tc>
      </w:tr>
      <w:tr w:rsidR="000E1262" w14:paraId="6A084980" w14:textId="77777777" w:rsidTr="00690841">
        <w:tc>
          <w:tcPr>
            <w:tcW w:w="9350" w:type="dxa"/>
            <w:gridSpan w:val="3"/>
            <w:shd w:val="clear" w:color="auto" w:fill="auto"/>
          </w:tcPr>
          <w:p w14:paraId="13D52360" w14:textId="77777777" w:rsidR="0043453D" w:rsidRPr="00CC6335" w:rsidRDefault="0043453D" w:rsidP="0043453D">
            <w:pPr>
              <w:rPr>
                <w:rFonts w:cs="Calibri"/>
              </w:rPr>
            </w:pPr>
            <w:r w:rsidRPr="00CC6335">
              <w:rPr>
                <w:rFonts w:cs="Calibri"/>
              </w:rPr>
              <w:t>The Competency Restoration Implementation Team is committed to evaluating and improving Idaho’s adult competency to stand trial system and reviewing policies affecting juvenile mental health evaluations within the justice system. Through comprehensive assessments, stakeholder engagement, and data-driven analysis, this team will develop strategies for systemic reform that promote efficiency, fairness, and improved treatment pathways for individuals involved in competency restoration processes.</w:t>
            </w:r>
          </w:p>
          <w:p w14:paraId="72BAE181" w14:textId="77777777" w:rsidR="0043453D" w:rsidRPr="00CC6335" w:rsidRDefault="0043453D" w:rsidP="0043453D">
            <w:pPr>
              <w:rPr>
                <w:rFonts w:cs="Calibri"/>
              </w:rPr>
            </w:pPr>
            <w:r w:rsidRPr="00CC6335">
              <w:rPr>
                <w:rFonts w:cs="Calibri"/>
              </w:rPr>
              <w:t>A key focus will be conducting a comprehensive assessment of the adult competency to stand trial system, identifying inefficiencies, delays, and gaps in evaluation and restoration services. The team will explore evidence-based reforms to improve the timeliness and effectiveness of competency determinations and restoration programs, ensuring that individuals receive appropriate treatment while reducing unnecessary legal and custodial delays.</w:t>
            </w:r>
          </w:p>
          <w:p w14:paraId="066A0495" w14:textId="77777777" w:rsidR="0043453D" w:rsidRPr="00CC6335" w:rsidRDefault="0043453D" w:rsidP="0043453D">
            <w:pPr>
              <w:rPr>
                <w:rFonts w:cs="Calibri"/>
              </w:rPr>
            </w:pPr>
            <w:r w:rsidRPr="00CC6335">
              <w:rPr>
                <w:rFonts w:cs="Calibri"/>
              </w:rPr>
              <w:t>Additionally, the team will establish a multidisciplinary workgroup to review Idaho’s juvenile statute I.C. 20-519, which governs the detention and mental health evaluation of juveniles. By analyzing statewide data and gathering input from legal, behavioral health, developmental disabilities and child welfare stakeholders, the team will assess how the statute is applied in practice and recommend improvements that promote consistency, developmentally appropriate responses, and effective mental health interventions for youth.</w:t>
            </w:r>
          </w:p>
          <w:p w14:paraId="7C2529DA" w14:textId="77777777" w:rsidR="00F41158" w:rsidRPr="00CC6335" w:rsidRDefault="00F41158" w:rsidP="0043453D">
            <w:pPr>
              <w:rPr>
                <w:rFonts w:cs="Calibri"/>
              </w:rPr>
            </w:pPr>
          </w:p>
          <w:p w14:paraId="216E1204" w14:textId="77777777" w:rsidR="00F41158" w:rsidRPr="00CC6335" w:rsidRDefault="00F41158" w:rsidP="00F41158">
            <w:pPr>
              <w:rPr>
                <w:rFonts w:cs="Calibri"/>
              </w:rPr>
            </w:pPr>
            <w:r w:rsidRPr="00CC6335">
              <w:rPr>
                <w:rFonts w:cs="Calibri"/>
              </w:rPr>
              <w:t>The North Star guiding these recommendations is the creation of a fair, efficient, and person-centered legal, behavioral health, and disabilities system that ensures timely, appropriate, and effective competency restoration services for adults and a just, developmentally appropriate approach for juveniles.</w:t>
            </w:r>
          </w:p>
          <w:p w14:paraId="16B5F713" w14:textId="77777777" w:rsidR="00F41158" w:rsidRPr="00CC6335" w:rsidRDefault="00F41158" w:rsidP="00F41158">
            <w:pPr>
              <w:rPr>
                <w:rFonts w:cs="Calibri"/>
              </w:rPr>
            </w:pPr>
            <w:r w:rsidRPr="00CC6335">
              <w:rPr>
                <w:rFonts w:cs="Calibri"/>
              </w:rPr>
              <w:t>For adult competency restoration, the goal is to establish a streamlined, evidence-based system that minimizes delays, prioritizes appropriate treatment settings, and ensures individuals receive timely evaluations and necessary care while protecting legal rights and public safety. This includes reducing unnecessary incarceration, expanding community-based restoration options, and improving coordination between courts, behavioral health providers, and correctional facilities.</w:t>
            </w:r>
          </w:p>
          <w:p w14:paraId="5DD462A7" w14:textId="77777777" w:rsidR="00F41158" w:rsidRPr="00CC6335" w:rsidRDefault="00F41158" w:rsidP="00F41158">
            <w:pPr>
              <w:rPr>
                <w:rFonts w:cs="Calibri"/>
              </w:rPr>
            </w:pPr>
            <w:r w:rsidRPr="00CC6335">
              <w:rPr>
                <w:rFonts w:cs="Calibri"/>
              </w:rPr>
              <w:t xml:space="preserve">For juvenile competency evaluations under I.C. 20-519, the focus is on ensuring the statute is applied fairly and consistently, with policies that reflect best practices in juvenile behavioral health and justice. By gathering data and stakeholder experiences, the aim is to develop recommendations that reduce unnecessary detention, ensure access to mental health services, </w:t>
            </w:r>
            <w:r w:rsidRPr="00CC6335">
              <w:rPr>
                <w:rFonts w:cs="Calibri"/>
              </w:rPr>
              <w:lastRenderedPageBreak/>
              <w:t>and uphold the unique developmental needs and legal protections of youth involved in the system.</w:t>
            </w:r>
          </w:p>
          <w:p w14:paraId="7ECC73D1" w14:textId="77777777" w:rsidR="000E1262" w:rsidRDefault="00F41158" w:rsidP="00F91D81">
            <w:pPr>
              <w:rPr>
                <w:rFonts w:cs="Calibri"/>
              </w:rPr>
            </w:pPr>
            <w:r w:rsidRPr="00CC6335">
              <w:rPr>
                <w:rFonts w:cs="Calibri"/>
              </w:rPr>
              <w:t>Ultimately, these efforts seek to foster a more effective, compassionate, and legally sound system that upholds the rights of individuals, enhances public safety, and strengthens the intersection between behavioral health and the justice system.</w:t>
            </w:r>
          </w:p>
          <w:p w14:paraId="76746309" w14:textId="4DA3FC00" w:rsidR="00BB4DF5" w:rsidRPr="00CC6335" w:rsidRDefault="00BB4DF5" w:rsidP="00F91D81"/>
        </w:tc>
      </w:tr>
      <w:tr w:rsidR="000E1262" w14:paraId="4B491392" w14:textId="77777777" w:rsidTr="000E1262">
        <w:tc>
          <w:tcPr>
            <w:tcW w:w="9350" w:type="dxa"/>
            <w:gridSpan w:val="3"/>
            <w:shd w:val="clear" w:color="auto" w:fill="B3E5A1" w:themeFill="accent6" w:themeFillTint="66"/>
          </w:tcPr>
          <w:p w14:paraId="10C406E4" w14:textId="77777777" w:rsidR="000E1262" w:rsidRDefault="000E1262" w:rsidP="000E1262">
            <w:pPr>
              <w:jc w:val="center"/>
            </w:pPr>
            <w:r w:rsidRPr="000E1262">
              <w:rPr>
                <w:b/>
                <w:bCs/>
                <w:sz w:val="28"/>
                <w:szCs w:val="28"/>
              </w:rPr>
              <w:lastRenderedPageBreak/>
              <w:t>ACTION ITEMS TO ACCOMPLISH</w:t>
            </w:r>
          </w:p>
        </w:tc>
      </w:tr>
      <w:tr w:rsidR="00ED1ACB" w14:paraId="6C6BCCCA" w14:textId="77777777" w:rsidTr="00ED1ACB">
        <w:tc>
          <w:tcPr>
            <w:tcW w:w="9350" w:type="dxa"/>
            <w:gridSpan w:val="3"/>
            <w:shd w:val="clear" w:color="auto" w:fill="auto"/>
          </w:tcPr>
          <w:p w14:paraId="5D24EB82" w14:textId="0536D578" w:rsidR="00ED1ACB" w:rsidRPr="000E1262" w:rsidRDefault="00C570A7" w:rsidP="000E1262">
            <w:r>
              <w:t>Recommendation #1: Conduct a comprehensive assessment and analyze ways to reform the competency to stand trial system.</w:t>
            </w:r>
          </w:p>
        </w:tc>
      </w:tr>
      <w:tr w:rsidR="00BA7B93" w14:paraId="786F53E8" w14:textId="77777777" w:rsidTr="000E1262">
        <w:tc>
          <w:tcPr>
            <w:tcW w:w="715" w:type="dxa"/>
            <w:shd w:val="clear" w:color="auto" w:fill="B3E5A1" w:themeFill="accent6" w:themeFillTint="66"/>
          </w:tcPr>
          <w:p w14:paraId="2DE3D916" w14:textId="4118056E" w:rsidR="00BA7B93" w:rsidRDefault="00BA7B93" w:rsidP="000E1262">
            <w:pPr>
              <w:jc w:val="center"/>
              <w:rPr>
                <w:b/>
                <w:bCs/>
              </w:rPr>
            </w:pPr>
            <w:r>
              <w:rPr>
                <w:b/>
                <w:bCs/>
              </w:rPr>
              <w:t>1.</w:t>
            </w:r>
          </w:p>
        </w:tc>
        <w:tc>
          <w:tcPr>
            <w:tcW w:w="8635" w:type="dxa"/>
            <w:gridSpan w:val="2"/>
            <w:shd w:val="clear" w:color="auto" w:fill="auto"/>
          </w:tcPr>
          <w:p w14:paraId="190BE57B" w14:textId="754E2A60" w:rsidR="00BA7B93" w:rsidRDefault="00BA7B93" w:rsidP="000E1262">
            <w:r>
              <w:t>Gather and analyze statewide data on competency evaluations and restoration</w:t>
            </w:r>
          </w:p>
        </w:tc>
      </w:tr>
      <w:tr w:rsidR="00BA7B93" w14:paraId="4AAD090D" w14:textId="77777777" w:rsidTr="000E1262">
        <w:tc>
          <w:tcPr>
            <w:tcW w:w="715" w:type="dxa"/>
            <w:shd w:val="clear" w:color="auto" w:fill="B3E5A1" w:themeFill="accent6" w:themeFillTint="66"/>
          </w:tcPr>
          <w:p w14:paraId="277A98F7" w14:textId="58A14BD7" w:rsidR="00BA7B93" w:rsidRDefault="00ED1ACB" w:rsidP="000E1262">
            <w:pPr>
              <w:jc w:val="center"/>
              <w:rPr>
                <w:b/>
                <w:bCs/>
              </w:rPr>
            </w:pPr>
            <w:r>
              <w:rPr>
                <w:b/>
                <w:bCs/>
              </w:rPr>
              <w:t>2.</w:t>
            </w:r>
          </w:p>
        </w:tc>
        <w:tc>
          <w:tcPr>
            <w:tcW w:w="8635" w:type="dxa"/>
            <w:gridSpan w:val="2"/>
            <w:shd w:val="clear" w:color="auto" w:fill="auto"/>
          </w:tcPr>
          <w:p w14:paraId="254B0935" w14:textId="6BF73271" w:rsidR="00BA7B93" w:rsidRDefault="00ED1ACB" w:rsidP="000E1262">
            <w:r>
              <w:t>Identify and review best practices from other states</w:t>
            </w:r>
          </w:p>
        </w:tc>
      </w:tr>
      <w:tr w:rsidR="00BA7B93" w14:paraId="4770EBD0" w14:textId="77777777" w:rsidTr="000E1262">
        <w:tc>
          <w:tcPr>
            <w:tcW w:w="715" w:type="dxa"/>
            <w:shd w:val="clear" w:color="auto" w:fill="B3E5A1" w:themeFill="accent6" w:themeFillTint="66"/>
          </w:tcPr>
          <w:p w14:paraId="09EA1DA5" w14:textId="7593D0D8" w:rsidR="00BA7B93" w:rsidRDefault="00ED1ACB" w:rsidP="000E1262">
            <w:pPr>
              <w:jc w:val="center"/>
              <w:rPr>
                <w:b/>
                <w:bCs/>
              </w:rPr>
            </w:pPr>
            <w:r>
              <w:rPr>
                <w:b/>
                <w:bCs/>
              </w:rPr>
              <w:t>3.</w:t>
            </w:r>
          </w:p>
        </w:tc>
        <w:tc>
          <w:tcPr>
            <w:tcW w:w="8635" w:type="dxa"/>
            <w:gridSpan w:val="2"/>
            <w:shd w:val="clear" w:color="auto" w:fill="auto"/>
          </w:tcPr>
          <w:p w14:paraId="757FEB40" w14:textId="0A58B5C7" w:rsidR="00BA7B93" w:rsidRDefault="00ED1ACB" w:rsidP="000E1262">
            <w:r>
              <w:t>Engage stakeholders in policy and system review</w:t>
            </w:r>
          </w:p>
        </w:tc>
      </w:tr>
      <w:tr w:rsidR="000E1262" w14:paraId="0F576AEC" w14:textId="77777777" w:rsidTr="000E1262">
        <w:tc>
          <w:tcPr>
            <w:tcW w:w="715" w:type="dxa"/>
            <w:shd w:val="clear" w:color="auto" w:fill="B3E5A1" w:themeFill="accent6" w:themeFillTint="66"/>
          </w:tcPr>
          <w:p w14:paraId="7E9C572B" w14:textId="7145C960" w:rsidR="000E1262" w:rsidRDefault="00ED1ACB" w:rsidP="000E1262">
            <w:pPr>
              <w:jc w:val="center"/>
              <w:rPr>
                <w:b/>
                <w:bCs/>
              </w:rPr>
            </w:pPr>
            <w:r>
              <w:rPr>
                <w:b/>
                <w:bCs/>
              </w:rPr>
              <w:t>4</w:t>
            </w:r>
            <w:r w:rsidR="000E1262">
              <w:rPr>
                <w:b/>
                <w:bCs/>
              </w:rPr>
              <w:t>.</w:t>
            </w:r>
          </w:p>
        </w:tc>
        <w:tc>
          <w:tcPr>
            <w:tcW w:w="8635" w:type="dxa"/>
            <w:gridSpan w:val="2"/>
            <w:shd w:val="clear" w:color="auto" w:fill="auto"/>
          </w:tcPr>
          <w:p w14:paraId="4EC8FB24" w14:textId="61283FCB" w:rsidR="000E1262" w:rsidRDefault="00ED1ACB" w:rsidP="000E1262">
            <w:pPr>
              <w:rPr>
                <w:b/>
                <w:bCs/>
              </w:rPr>
            </w:pPr>
            <w:r>
              <w:t>Assess workforce and infrastructure capacity</w:t>
            </w:r>
          </w:p>
        </w:tc>
      </w:tr>
      <w:tr w:rsidR="00C570A7" w14:paraId="250E3F85" w14:textId="77777777" w:rsidTr="00C570A7">
        <w:tc>
          <w:tcPr>
            <w:tcW w:w="9350" w:type="dxa"/>
            <w:gridSpan w:val="3"/>
            <w:shd w:val="clear" w:color="auto" w:fill="auto"/>
          </w:tcPr>
          <w:p w14:paraId="307F773D" w14:textId="1DE8AEA7" w:rsidR="00C570A7" w:rsidRDefault="00C570A7" w:rsidP="000E1262">
            <w:r>
              <w:t>Recommendation #2: Establish a multi-disciplinary group to review juvenile statute I.C. 20-519</w:t>
            </w:r>
          </w:p>
        </w:tc>
      </w:tr>
      <w:tr w:rsidR="000E1262" w14:paraId="09867115" w14:textId="77777777" w:rsidTr="000E1262">
        <w:tc>
          <w:tcPr>
            <w:tcW w:w="715" w:type="dxa"/>
            <w:shd w:val="clear" w:color="auto" w:fill="B3E5A1" w:themeFill="accent6" w:themeFillTint="66"/>
          </w:tcPr>
          <w:p w14:paraId="27ADA738" w14:textId="29E811D4" w:rsidR="000E1262" w:rsidRDefault="00C570A7" w:rsidP="000E1262">
            <w:pPr>
              <w:jc w:val="center"/>
              <w:rPr>
                <w:b/>
                <w:bCs/>
              </w:rPr>
            </w:pPr>
            <w:r>
              <w:rPr>
                <w:b/>
                <w:bCs/>
              </w:rPr>
              <w:t>5</w:t>
            </w:r>
            <w:r w:rsidR="000E1262">
              <w:rPr>
                <w:b/>
                <w:bCs/>
              </w:rPr>
              <w:t>.</w:t>
            </w:r>
          </w:p>
        </w:tc>
        <w:tc>
          <w:tcPr>
            <w:tcW w:w="8635" w:type="dxa"/>
            <w:gridSpan w:val="2"/>
            <w:shd w:val="clear" w:color="auto" w:fill="auto"/>
          </w:tcPr>
          <w:p w14:paraId="4BF4CDC2" w14:textId="485043DC" w:rsidR="000E1262" w:rsidRPr="00CB65B5" w:rsidRDefault="00C570A7" w:rsidP="000E1262">
            <w:r>
              <w:t>Form a juvenile competency review workgroup</w:t>
            </w:r>
          </w:p>
        </w:tc>
      </w:tr>
      <w:tr w:rsidR="00C570A7" w14:paraId="23D75C7C" w14:textId="77777777" w:rsidTr="000E1262">
        <w:tc>
          <w:tcPr>
            <w:tcW w:w="715" w:type="dxa"/>
            <w:shd w:val="clear" w:color="auto" w:fill="B3E5A1" w:themeFill="accent6" w:themeFillTint="66"/>
          </w:tcPr>
          <w:p w14:paraId="6DD8C04F" w14:textId="6184A699" w:rsidR="00C570A7" w:rsidRDefault="00C570A7" w:rsidP="000E1262">
            <w:pPr>
              <w:jc w:val="center"/>
              <w:rPr>
                <w:b/>
                <w:bCs/>
              </w:rPr>
            </w:pPr>
            <w:r>
              <w:rPr>
                <w:b/>
                <w:bCs/>
              </w:rPr>
              <w:t>6.</w:t>
            </w:r>
          </w:p>
        </w:tc>
        <w:tc>
          <w:tcPr>
            <w:tcW w:w="8635" w:type="dxa"/>
            <w:gridSpan w:val="2"/>
            <w:shd w:val="clear" w:color="auto" w:fill="auto"/>
          </w:tcPr>
          <w:p w14:paraId="2F567BC7" w14:textId="12997EE5" w:rsidR="00C570A7" w:rsidRDefault="00354810" w:rsidP="000E1262">
            <w:r>
              <w:t>Collect and analyze data on the use of I.C. 20-519</w:t>
            </w:r>
          </w:p>
        </w:tc>
      </w:tr>
      <w:tr w:rsidR="00354810" w14:paraId="75E1DB14" w14:textId="77777777" w:rsidTr="000E1262">
        <w:tc>
          <w:tcPr>
            <w:tcW w:w="715" w:type="dxa"/>
            <w:shd w:val="clear" w:color="auto" w:fill="B3E5A1" w:themeFill="accent6" w:themeFillTint="66"/>
          </w:tcPr>
          <w:p w14:paraId="20C4EE6D" w14:textId="7FA75BF7" w:rsidR="00354810" w:rsidRDefault="00354810" w:rsidP="000E1262">
            <w:pPr>
              <w:jc w:val="center"/>
              <w:rPr>
                <w:b/>
                <w:bCs/>
              </w:rPr>
            </w:pPr>
            <w:r>
              <w:rPr>
                <w:b/>
                <w:bCs/>
              </w:rPr>
              <w:t>7.</w:t>
            </w:r>
          </w:p>
        </w:tc>
        <w:tc>
          <w:tcPr>
            <w:tcW w:w="8635" w:type="dxa"/>
            <w:gridSpan w:val="2"/>
            <w:shd w:val="clear" w:color="auto" w:fill="auto"/>
          </w:tcPr>
          <w:p w14:paraId="3DFB89CA" w14:textId="6D68BEBC" w:rsidR="00354810" w:rsidRDefault="00354810" w:rsidP="000E1262">
            <w:r>
              <w:t>Gather stakeholder feedback</w:t>
            </w:r>
          </w:p>
        </w:tc>
      </w:tr>
      <w:tr w:rsidR="00354810" w14:paraId="720E0AE4" w14:textId="77777777" w:rsidTr="000E1262">
        <w:tc>
          <w:tcPr>
            <w:tcW w:w="715" w:type="dxa"/>
            <w:shd w:val="clear" w:color="auto" w:fill="B3E5A1" w:themeFill="accent6" w:themeFillTint="66"/>
          </w:tcPr>
          <w:p w14:paraId="50B03F8B" w14:textId="5B370672" w:rsidR="00354810" w:rsidRDefault="00354810" w:rsidP="000E1262">
            <w:pPr>
              <w:jc w:val="center"/>
              <w:rPr>
                <w:b/>
                <w:bCs/>
              </w:rPr>
            </w:pPr>
            <w:r>
              <w:rPr>
                <w:b/>
                <w:bCs/>
              </w:rPr>
              <w:t>8.</w:t>
            </w:r>
          </w:p>
        </w:tc>
        <w:tc>
          <w:tcPr>
            <w:tcW w:w="8635" w:type="dxa"/>
            <w:gridSpan w:val="2"/>
            <w:shd w:val="clear" w:color="auto" w:fill="auto"/>
          </w:tcPr>
          <w:p w14:paraId="14829EAD" w14:textId="7A09E8F6" w:rsidR="00354810" w:rsidRDefault="00354810" w:rsidP="000E1262">
            <w:r>
              <w:t>Review national best practices for juvenile competency and diversion</w:t>
            </w:r>
          </w:p>
        </w:tc>
      </w:tr>
      <w:tr w:rsidR="000E1262" w:rsidRPr="00BC071B" w14:paraId="35F4454E" w14:textId="77777777" w:rsidTr="00CB65B5">
        <w:tc>
          <w:tcPr>
            <w:tcW w:w="9350" w:type="dxa"/>
            <w:gridSpan w:val="3"/>
            <w:shd w:val="clear" w:color="auto" w:fill="B3E5A1" w:themeFill="accent6" w:themeFillTint="66"/>
          </w:tcPr>
          <w:p w14:paraId="7514B1C2" w14:textId="4E795E4C" w:rsidR="000E1262" w:rsidRPr="00BC071B" w:rsidRDefault="00CB65B5" w:rsidP="00CB65B5">
            <w:pPr>
              <w:jc w:val="center"/>
              <w:rPr>
                <w:b/>
                <w:bCs/>
                <w:sz w:val="28"/>
                <w:szCs w:val="28"/>
              </w:rPr>
            </w:pPr>
            <w:r>
              <w:rPr>
                <w:b/>
                <w:bCs/>
                <w:sz w:val="28"/>
                <w:szCs w:val="28"/>
              </w:rPr>
              <w:t>PARAMETERS OR CONSTRAINTS</w:t>
            </w:r>
          </w:p>
        </w:tc>
      </w:tr>
      <w:tr w:rsidR="007F2AC4" w:rsidRPr="0047052B" w14:paraId="455A68D9" w14:textId="77777777" w:rsidTr="00FD46B8">
        <w:tc>
          <w:tcPr>
            <w:tcW w:w="9350" w:type="dxa"/>
            <w:gridSpan w:val="3"/>
          </w:tcPr>
          <w:p w14:paraId="6E1899E1" w14:textId="77777777" w:rsidR="00606F61" w:rsidRPr="00CC6335" w:rsidRDefault="00606F61" w:rsidP="00606F61">
            <w:pPr>
              <w:rPr>
                <w:rFonts w:cs="Calibri"/>
                <w:b/>
                <w:bCs/>
              </w:rPr>
            </w:pPr>
            <w:r w:rsidRPr="00CC6335">
              <w:rPr>
                <w:rFonts w:cs="Calibri"/>
                <w:b/>
                <w:bCs/>
              </w:rPr>
              <w:t>In Scope (Project Includes)</w:t>
            </w:r>
          </w:p>
          <w:p w14:paraId="40D44958" w14:textId="77777777" w:rsidR="00606F61" w:rsidRDefault="00606F61" w:rsidP="00606F61">
            <w:pPr>
              <w:rPr>
                <w:rFonts w:cs="Calibri"/>
              </w:rPr>
            </w:pPr>
            <w:r w:rsidRPr="00CC6335">
              <w:rPr>
                <w:rFonts w:cs="Calibri"/>
              </w:rPr>
              <w:t>The following activities align with the charter’s goals and will be addressed through the prioritized action items:</w:t>
            </w:r>
          </w:p>
          <w:p w14:paraId="5EB85014" w14:textId="77777777" w:rsidR="00712E4E" w:rsidRPr="00CC6335" w:rsidRDefault="00712E4E" w:rsidP="00606F61">
            <w:pPr>
              <w:rPr>
                <w:rFonts w:cs="Calibri"/>
              </w:rPr>
            </w:pPr>
          </w:p>
          <w:p w14:paraId="2B0E9182" w14:textId="77777777" w:rsidR="00606F61" w:rsidRPr="00CC6335" w:rsidRDefault="00606F61" w:rsidP="00606F61">
            <w:pPr>
              <w:contextualSpacing/>
              <w:rPr>
                <w:rFonts w:cs="Calibri"/>
                <w:b/>
                <w:bCs/>
              </w:rPr>
            </w:pPr>
            <w:r w:rsidRPr="00CC6335">
              <w:rPr>
                <w:rFonts w:cs="Calibri"/>
                <w:b/>
                <w:bCs/>
              </w:rPr>
              <w:t>1. Competency to Stand Trial System Reform</w:t>
            </w:r>
          </w:p>
          <w:p w14:paraId="68F0E837" w14:textId="77777777" w:rsidR="00606F61" w:rsidRPr="00CC6335" w:rsidRDefault="00606F61" w:rsidP="00606F61">
            <w:pPr>
              <w:contextualSpacing/>
              <w:rPr>
                <w:rFonts w:cs="Calibri"/>
              </w:rPr>
            </w:pPr>
          </w:p>
          <w:p w14:paraId="7D096476" w14:textId="77777777" w:rsidR="00606F61" w:rsidRPr="00CC6335" w:rsidRDefault="00606F61" w:rsidP="00606F61">
            <w:pPr>
              <w:numPr>
                <w:ilvl w:val="0"/>
                <w:numId w:val="3"/>
              </w:numPr>
              <w:contextualSpacing/>
              <w:rPr>
                <w:rFonts w:cs="Calibri"/>
              </w:rPr>
            </w:pPr>
            <w:r w:rsidRPr="00CC6335">
              <w:rPr>
                <w:rFonts w:cs="Calibri"/>
                <w:b/>
                <w:bCs/>
              </w:rPr>
              <w:t>Statewide Data Collection and Analysis:</w:t>
            </w:r>
          </w:p>
          <w:p w14:paraId="6C6004F1" w14:textId="77777777" w:rsidR="00606F61" w:rsidRPr="00CC6335" w:rsidRDefault="00606F61" w:rsidP="00606F61">
            <w:pPr>
              <w:pStyle w:val="ListParagraph"/>
              <w:numPr>
                <w:ilvl w:val="1"/>
                <w:numId w:val="3"/>
              </w:numPr>
              <w:rPr>
                <w:rFonts w:cs="Calibri"/>
              </w:rPr>
            </w:pPr>
            <w:r w:rsidRPr="00CC6335">
              <w:rPr>
                <w:rFonts w:cs="Calibri"/>
              </w:rPr>
              <w:t xml:space="preserve">Determining which data points are relevant to the recommendation goal. </w:t>
            </w:r>
          </w:p>
          <w:p w14:paraId="3AAA77FA" w14:textId="77777777" w:rsidR="00606F61" w:rsidRPr="00CC6335" w:rsidRDefault="00606F61" w:rsidP="00606F61">
            <w:pPr>
              <w:pStyle w:val="ListParagraph"/>
              <w:numPr>
                <w:ilvl w:val="1"/>
                <w:numId w:val="3"/>
              </w:numPr>
              <w:rPr>
                <w:rFonts w:cs="Calibri"/>
              </w:rPr>
            </w:pPr>
            <w:r w:rsidRPr="00CC6335">
              <w:rPr>
                <w:rFonts w:cs="Calibri"/>
              </w:rPr>
              <w:t>Gathering data on competency evaluations, including referrals, wait times, restoration outcomes, and service gaps.</w:t>
            </w:r>
          </w:p>
          <w:p w14:paraId="38C99759" w14:textId="77777777" w:rsidR="00606F61" w:rsidRPr="00CC6335" w:rsidRDefault="00606F61" w:rsidP="00606F61">
            <w:pPr>
              <w:pStyle w:val="ListParagraph"/>
              <w:numPr>
                <w:ilvl w:val="1"/>
                <w:numId w:val="3"/>
              </w:numPr>
              <w:rPr>
                <w:rFonts w:cs="Calibri"/>
              </w:rPr>
            </w:pPr>
            <w:r w:rsidRPr="00CC6335">
              <w:rPr>
                <w:rFonts w:cs="Calibri"/>
              </w:rPr>
              <w:t>Evaluating each phase of the competency process to identify barriers, procedural concerns, and timeline issues.</w:t>
            </w:r>
          </w:p>
          <w:p w14:paraId="28C00FE5" w14:textId="77777777" w:rsidR="00606F61" w:rsidRPr="00CC6335" w:rsidRDefault="00606F61" w:rsidP="00606F61">
            <w:pPr>
              <w:pStyle w:val="ListParagraph"/>
              <w:numPr>
                <w:ilvl w:val="1"/>
                <w:numId w:val="3"/>
              </w:numPr>
              <w:rPr>
                <w:rFonts w:cs="Calibri"/>
              </w:rPr>
            </w:pPr>
            <w:r w:rsidRPr="00CC6335">
              <w:rPr>
                <w:rFonts w:cs="Calibri"/>
              </w:rPr>
              <w:t xml:space="preserve">Developing reports and making recommendations to leaders and stakeholders. </w:t>
            </w:r>
          </w:p>
          <w:p w14:paraId="6B2E8082" w14:textId="77777777" w:rsidR="00606F61" w:rsidRPr="00CC6335" w:rsidRDefault="00606F61" w:rsidP="00606F61">
            <w:pPr>
              <w:numPr>
                <w:ilvl w:val="0"/>
                <w:numId w:val="3"/>
              </w:numPr>
              <w:contextualSpacing/>
              <w:rPr>
                <w:rFonts w:cs="Calibri"/>
              </w:rPr>
            </w:pPr>
            <w:r w:rsidRPr="00CC6335">
              <w:rPr>
                <w:rFonts w:cs="Calibri"/>
                <w:b/>
                <w:bCs/>
              </w:rPr>
              <w:t>Reviewing National Best Practices:</w:t>
            </w:r>
          </w:p>
          <w:p w14:paraId="7204DD88" w14:textId="77777777" w:rsidR="00606F61" w:rsidRPr="00CC6335" w:rsidRDefault="00606F61" w:rsidP="00606F61">
            <w:pPr>
              <w:numPr>
                <w:ilvl w:val="1"/>
                <w:numId w:val="3"/>
              </w:numPr>
              <w:contextualSpacing/>
              <w:rPr>
                <w:rFonts w:cs="Calibri"/>
              </w:rPr>
            </w:pPr>
            <w:r w:rsidRPr="00CC6335">
              <w:rPr>
                <w:rFonts w:cs="Calibri"/>
              </w:rPr>
              <w:t xml:space="preserve">Interviewing and conducting discussions with stakeholders.   </w:t>
            </w:r>
          </w:p>
          <w:p w14:paraId="3FB3903C" w14:textId="77777777" w:rsidR="00606F61" w:rsidRPr="00CC6335" w:rsidRDefault="00606F61" w:rsidP="00606F61">
            <w:pPr>
              <w:numPr>
                <w:ilvl w:val="1"/>
                <w:numId w:val="3"/>
              </w:numPr>
              <w:contextualSpacing/>
              <w:rPr>
                <w:rFonts w:cs="Calibri"/>
              </w:rPr>
            </w:pPr>
            <w:r w:rsidRPr="00CC6335">
              <w:rPr>
                <w:rFonts w:cs="Calibri"/>
              </w:rPr>
              <w:t>Conducting a comparative analysis of states with successful competency restoration reforms.</w:t>
            </w:r>
          </w:p>
          <w:p w14:paraId="66B121F0" w14:textId="77777777" w:rsidR="00606F61" w:rsidRPr="00CC6335" w:rsidRDefault="00606F61" w:rsidP="00606F61">
            <w:pPr>
              <w:numPr>
                <w:ilvl w:val="1"/>
                <w:numId w:val="3"/>
              </w:numPr>
              <w:contextualSpacing/>
              <w:rPr>
                <w:rFonts w:cs="Calibri"/>
              </w:rPr>
            </w:pPr>
            <w:r w:rsidRPr="00CC6335">
              <w:rPr>
                <w:rFonts w:cs="Calibri"/>
              </w:rPr>
              <w:t>Evaluating alternative models such as community-based and outpatient competency restoration programs.</w:t>
            </w:r>
          </w:p>
          <w:p w14:paraId="346FF3B7" w14:textId="77777777" w:rsidR="00606F61" w:rsidRPr="00CC6335" w:rsidRDefault="00606F61" w:rsidP="00606F61">
            <w:pPr>
              <w:numPr>
                <w:ilvl w:val="0"/>
                <w:numId w:val="3"/>
              </w:numPr>
              <w:contextualSpacing/>
              <w:rPr>
                <w:rFonts w:cs="Calibri"/>
              </w:rPr>
            </w:pPr>
            <w:r w:rsidRPr="00CC6335">
              <w:rPr>
                <w:rFonts w:cs="Calibri"/>
                <w:b/>
                <w:bCs/>
              </w:rPr>
              <w:t>Stakeholder Engagement:</w:t>
            </w:r>
          </w:p>
          <w:p w14:paraId="45E5932A" w14:textId="77777777" w:rsidR="00606F61" w:rsidRPr="00CC6335" w:rsidRDefault="00606F61" w:rsidP="00606F61">
            <w:pPr>
              <w:numPr>
                <w:ilvl w:val="1"/>
                <w:numId w:val="3"/>
              </w:numPr>
              <w:contextualSpacing/>
              <w:rPr>
                <w:rFonts w:cs="Calibri"/>
              </w:rPr>
            </w:pPr>
            <w:r w:rsidRPr="00CC6335">
              <w:rPr>
                <w:rFonts w:cs="Calibri"/>
              </w:rPr>
              <w:t>Convening legal, behavioral health, developmental disabilities and correctional system experts to assess systemic challenges.</w:t>
            </w:r>
          </w:p>
          <w:p w14:paraId="134B8A60" w14:textId="77777777" w:rsidR="00606F61" w:rsidRPr="00CC6335" w:rsidRDefault="00606F61" w:rsidP="00606F61">
            <w:pPr>
              <w:numPr>
                <w:ilvl w:val="1"/>
                <w:numId w:val="3"/>
              </w:numPr>
              <w:contextualSpacing/>
              <w:rPr>
                <w:rFonts w:cs="Calibri"/>
              </w:rPr>
            </w:pPr>
            <w:r w:rsidRPr="00CC6335">
              <w:rPr>
                <w:rFonts w:cs="Calibri"/>
              </w:rPr>
              <w:t>Gathering input from public defenders, judges, prosecutors, and forensic evaluators on current practices and potential reforms.</w:t>
            </w:r>
          </w:p>
          <w:p w14:paraId="54084FBA" w14:textId="77777777" w:rsidR="00606F61" w:rsidRPr="00CC6335" w:rsidRDefault="00606F61" w:rsidP="00606F61">
            <w:pPr>
              <w:numPr>
                <w:ilvl w:val="0"/>
                <w:numId w:val="3"/>
              </w:numPr>
              <w:contextualSpacing/>
              <w:rPr>
                <w:rFonts w:cs="Calibri"/>
              </w:rPr>
            </w:pPr>
            <w:r w:rsidRPr="00CC6335">
              <w:rPr>
                <w:rFonts w:cs="Calibri"/>
                <w:b/>
                <w:bCs/>
              </w:rPr>
              <w:t>Assessing Workforce and Infrastructure Capacity:</w:t>
            </w:r>
          </w:p>
          <w:p w14:paraId="5DE77E04" w14:textId="77777777" w:rsidR="00606F61" w:rsidRDefault="00606F61" w:rsidP="00606F61">
            <w:pPr>
              <w:numPr>
                <w:ilvl w:val="1"/>
                <w:numId w:val="3"/>
              </w:numPr>
              <w:contextualSpacing/>
              <w:rPr>
                <w:rFonts w:cs="Calibri"/>
              </w:rPr>
            </w:pPr>
            <w:r w:rsidRPr="00CC6335">
              <w:rPr>
                <w:rFonts w:cs="Calibri"/>
              </w:rPr>
              <w:t>Identifying shortages in forensic evaluators, mental health professionals, developmental disabilities and restoration service providers.</w:t>
            </w:r>
          </w:p>
          <w:p w14:paraId="14DA4B6E" w14:textId="77777777" w:rsidR="00606F61" w:rsidRDefault="00606F61" w:rsidP="00606F61">
            <w:pPr>
              <w:numPr>
                <w:ilvl w:val="1"/>
                <w:numId w:val="3"/>
              </w:numPr>
              <w:contextualSpacing/>
              <w:rPr>
                <w:rFonts w:cs="Calibri"/>
              </w:rPr>
            </w:pPr>
            <w:r w:rsidRPr="00CC6335">
              <w:rPr>
                <w:rFonts w:cs="Calibri"/>
              </w:rPr>
              <w:lastRenderedPageBreak/>
              <w:t>Evaluating facility and program capacity for both inpatient and community-based restoration.</w:t>
            </w:r>
          </w:p>
          <w:p w14:paraId="4B7189AE" w14:textId="77777777" w:rsidR="00D22D1E" w:rsidRPr="00CC6335" w:rsidRDefault="00D22D1E" w:rsidP="00D22D1E">
            <w:pPr>
              <w:ind w:left="1440"/>
              <w:contextualSpacing/>
              <w:rPr>
                <w:rFonts w:cs="Calibri"/>
              </w:rPr>
            </w:pPr>
          </w:p>
          <w:p w14:paraId="45FD014D" w14:textId="77777777" w:rsidR="00606F61" w:rsidRPr="00CC6335" w:rsidRDefault="00606F61" w:rsidP="00606F61">
            <w:pPr>
              <w:contextualSpacing/>
              <w:rPr>
                <w:rFonts w:cs="Calibri"/>
                <w:b/>
                <w:bCs/>
              </w:rPr>
            </w:pPr>
            <w:r w:rsidRPr="00CC6335">
              <w:rPr>
                <w:rFonts w:cs="Calibri"/>
                <w:b/>
                <w:bCs/>
              </w:rPr>
              <w:t>2. Review of Juvenile Statute I.C. 20-519</w:t>
            </w:r>
          </w:p>
          <w:p w14:paraId="1627C323" w14:textId="77777777" w:rsidR="00606F61" w:rsidRPr="00CC6335" w:rsidRDefault="00606F61" w:rsidP="00606F61">
            <w:pPr>
              <w:contextualSpacing/>
              <w:rPr>
                <w:rFonts w:cs="Calibri"/>
              </w:rPr>
            </w:pPr>
          </w:p>
          <w:p w14:paraId="0E75D93B" w14:textId="77777777" w:rsidR="00606F61" w:rsidRPr="00CC6335" w:rsidRDefault="00606F61" w:rsidP="00606F61">
            <w:pPr>
              <w:numPr>
                <w:ilvl w:val="0"/>
                <w:numId w:val="4"/>
              </w:numPr>
              <w:contextualSpacing/>
              <w:rPr>
                <w:rFonts w:cs="Calibri"/>
              </w:rPr>
            </w:pPr>
            <w:r w:rsidRPr="00CC6335">
              <w:rPr>
                <w:rFonts w:cs="Calibri"/>
                <w:b/>
                <w:bCs/>
              </w:rPr>
              <w:t>Form a Juvenile Competency Review Workgroup:</w:t>
            </w:r>
          </w:p>
          <w:p w14:paraId="5A1B52CC" w14:textId="77777777" w:rsidR="00606F61" w:rsidRPr="00CC6335" w:rsidRDefault="00606F61" w:rsidP="00606F61">
            <w:pPr>
              <w:numPr>
                <w:ilvl w:val="1"/>
                <w:numId w:val="4"/>
              </w:numPr>
              <w:contextualSpacing/>
              <w:rPr>
                <w:rFonts w:cs="Calibri"/>
              </w:rPr>
            </w:pPr>
            <w:r w:rsidRPr="00CC6335">
              <w:rPr>
                <w:rFonts w:cs="Calibri"/>
              </w:rPr>
              <w:t>Engaging representatives from juvenile courts, public defenders, prosecutors, child psychiatrists, social workers, developmental disabilities and advocacy groups.</w:t>
            </w:r>
          </w:p>
          <w:p w14:paraId="654435F2" w14:textId="77777777" w:rsidR="00606F61" w:rsidRPr="00CC6335" w:rsidRDefault="00606F61" w:rsidP="00606F61">
            <w:pPr>
              <w:numPr>
                <w:ilvl w:val="1"/>
                <w:numId w:val="4"/>
              </w:numPr>
              <w:contextualSpacing/>
              <w:rPr>
                <w:rFonts w:cs="Calibri"/>
              </w:rPr>
            </w:pPr>
            <w:r w:rsidRPr="00CC6335">
              <w:rPr>
                <w:rFonts w:cs="Calibri"/>
              </w:rPr>
              <w:t>Ensuring diverse perspectives, including families and youth with lived experience.</w:t>
            </w:r>
          </w:p>
          <w:p w14:paraId="04D67CF4" w14:textId="77777777" w:rsidR="00606F61" w:rsidRPr="00CC6335" w:rsidRDefault="00606F61" w:rsidP="00606F61">
            <w:pPr>
              <w:numPr>
                <w:ilvl w:val="0"/>
                <w:numId w:val="4"/>
              </w:numPr>
              <w:contextualSpacing/>
              <w:rPr>
                <w:rFonts w:cs="Calibri"/>
              </w:rPr>
            </w:pPr>
            <w:r w:rsidRPr="00CC6335">
              <w:rPr>
                <w:rFonts w:cs="Calibri"/>
                <w:b/>
                <w:bCs/>
              </w:rPr>
              <w:t>Data Collection and Analysis:</w:t>
            </w:r>
          </w:p>
          <w:p w14:paraId="33844FAB" w14:textId="77777777" w:rsidR="00606F61" w:rsidRPr="00CC6335" w:rsidRDefault="00606F61" w:rsidP="00606F61">
            <w:pPr>
              <w:numPr>
                <w:ilvl w:val="1"/>
                <w:numId w:val="4"/>
              </w:numPr>
              <w:contextualSpacing/>
              <w:rPr>
                <w:rFonts w:cs="Calibri"/>
              </w:rPr>
            </w:pPr>
            <w:r w:rsidRPr="00CC6335">
              <w:rPr>
                <w:rFonts w:cs="Calibri"/>
              </w:rPr>
              <w:t>Assessing how often the statute is applied, regional differences, and case outcomes.</w:t>
            </w:r>
          </w:p>
          <w:p w14:paraId="75F12158" w14:textId="77777777" w:rsidR="00606F61" w:rsidRPr="00CC6335" w:rsidRDefault="00606F61" w:rsidP="00606F61">
            <w:pPr>
              <w:numPr>
                <w:ilvl w:val="1"/>
                <w:numId w:val="4"/>
              </w:numPr>
              <w:contextualSpacing/>
              <w:rPr>
                <w:rFonts w:cs="Calibri"/>
              </w:rPr>
            </w:pPr>
            <w:r w:rsidRPr="00CC6335">
              <w:rPr>
                <w:rFonts w:cs="Calibri"/>
              </w:rPr>
              <w:t>Identifying trends in detention rates, access to evaluations, and length of time in the system.</w:t>
            </w:r>
          </w:p>
          <w:p w14:paraId="3E991F16" w14:textId="77777777" w:rsidR="00606F61" w:rsidRPr="00CC6335" w:rsidRDefault="00606F61" w:rsidP="00606F61">
            <w:pPr>
              <w:numPr>
                <w:ilvl w:val="0"/>
                <w:numId w:val="4"/>
              </w:numPr>
              <w:contextualSpacing/>
              <w:rPr>
                <w:rFonts w:cs="Calibri"/>
              </w:rPr>
            </w:pPr>
            <w:r w:rsidRPr="00CC6335">
              <w:rPr>
                <w:rFonts w:cs="Calibri"/>
                <w:b/>
                <w:bCs/>
              </w:rPr>
              <w:t>Stakeholder Feedback:</w:t>
            </w:r>
          </w:p>
          <w:p w14:paraId="134A5B0C" w14:textId="77777777" w:rsidR="00606F61" w:rsidRPr="00CC6335" w:rsidRDefault="00606F61" w:rsidP="00606F61">
            <w:pPr>
              <w:numPr>
                <w:ilvl w:val="1"/>
                <w:numId w:val="4"/>
              </w:numPr>
              <w:contextualSpacing/>
              <w:rPr>
                <w:rFonts w:cs="Calibri"/>
              </w:rPr>
            </w:pPr>
            <w:r w:rsidRPr="00CC6335">
              <w:rPr>
                <w:rFonts w:cs="Calibri"/>
              </w:rPr>
              <w:t>Conducting focus groups and surveys with legal professionals, families, and service providers.</w:t>
            </w:r>
          </w:p>
          <w:p w14:paraId="26939CD9" w14:textId="77777777" w:rsidR="00606F61" w:rsidRPr="00CC6335" w:rsidRDefault="00606F61" w:rsidP="00606F61">
            <w:pPr>
              <w:numPr>
                <w:ilvl w:val="1"/>
                <w:numId w:val="4"/>
              </w:numPr>
              <w:contextualSpacing/>
              <w:rPr>
                <w:rFonts w:cs="Calibri"/>
              </w:rPr>
            </w:pPr>
            <w:r w:rsidRPr="00CC6335">
              <w:rPr>
                <w:rFonts w:cs="Calibri"/>
              </w:rPr>
              <w:t>Identifying challenges in applying the statute and concerns around due process and fairness.</w:t>
            </w:r>
          </w:p>
          <w:p w14:paraId="07F5013C" w14:textId="77777777" w:rsidR="00606F61" w:rsidRPr="00CC6335" w:rsidRDefault="00606F61" w:rsidP="00606F61">
            <w:pPr>
              <w:numPr>
                <w:ilvl w:val="0"/>
                <w:numId w:val="4"/>
              </w:numPr>
              <w:contextualSpacing/>
              <w:rPr>
                <w:rFonts w:cs="Calibri"/>
              </w:rPr>
            </w:pPr>
            <w:r w:rsidRPr="00CC6335">
              <w:rPr>
                <w:rFonts w:cs="Calibri"/>
                <w:b/>
                <w:bCs/>
              </w:rPr>
              <w:t>Reviewing National Best Practices:</w:t>
            </w:r>
          </w:p>
          <w:p w14:paraId="5D3D0A73" w14:textId="77777777" w:rsidR="00606F61" w:rsidRPr="00CC6335" w:rsidRDefault="00606F61" w:rsidP="00606F61">
            <w:pPr>
              <w:numPr>
                <w:ilvl w:val="1"/>
                <w:numId w:val="4"/>
              </w:numPr>
              <w:contextualSpacing/>
              <w:rPr>
                <w:rFonts w:cs="Calibri"/>
              </w:rPr>
            </w:pPr>
            <w:r w:rsidRPr="00CC6335">
              <w:rPr>
                <w:rFonts w:cs="Calibri"/>
              </w:rPr>
              <w:t>Analyzing developmentally appropriate alternatives to detention-based competency evaluations.</w:t>
            </w:r>
          </w:p>
          <w:p w14:paraId="09C6CBB3" w14:textId="77777777" w:rsidR="00606F61" w:rsidRPr="00CC6335" w:rsidRDefault="00606F61" w:rsidP="00606F61">
            <w:pPr>
              <w:numPr>
                <w:ilvl w:val="1"/>
                <w:numId w:val="4"/>
              </w:numPr>
              <w:contextualSpacing/>
              <w:rPr>
                <w:rFonts w:cs="Calibri"/>
              </w:rPr>
            </w:pPr>
            <w:r w:rsidRPr="00CC6335">
              <w:rPr>
                <w:rFonts w:cs="Calibri"/>
              </w:rPr>
              <w:t>Exploring community-based interventions and early diversion strategies for juveniles.</w:t>
            </w:r>
          </w:p>
          <w:p w14:paraId="2A81576A" w14:textId="77777777" w:rsidR="00606F61" w:rsidRPr="00CC6335" w:rsidRDefault="00606F61" w:rsidP="00606F61">
            <w:pPr>
              <w:contextualSpacing/>
              <w:rPr>
                <w:rFonts w:cs="Calibri"/>
              </w:rPr>
            </w:pPr>
          </w:p>
          <w:p w14:paraId="3F0338A0" w14:textId="77777777" w:rsidR="00606F61" w:rsidRPr="00CC6335" w:rsidRDefault="00606F61" w:rsidP="00606F61">
            <w:pPr>
              <w:contextualSpacing/>
              <w:rPr>
                <w:rFonts w:cs="Calibri"/>
                <w:b/>
                <w:bCs/>
              </w:rPr>
            </w:pPr>
            <w:r w:rsidRPr="00CC6335">
              <w:rPr>
                <w:rFonts w:cs="Calibri"/>
                <w:b/>
                <w:bCs/>
              </w:rPr>
              <w:t xml:space="preserve">Out of Scope (Not Included in the Project) </w:t>
            </w:r>
          </w:p>
          <w:p w14:paraId="79A03806" w14:textId="77777777" w:rsidR="00606F61" w:rsidRPr="00CC6335" w:rsidRDefault="00606F61" w:rsidP="00606F61">
            <w:pPr>
              <w:contextualSpacing/>
              <w:rPr>
                <w:rFonts w:cs="Calibri"/>
              </w:rPr>
            </w:pPr>
            <w:r w:rsidRPr="00CC6335">
              <w:br/>
            </w:r>
            <w:r w:rsidRPr="00CC6335">
              <w:rPr>
                <w:rFonts w:cs="Calibri"/>
              </w:rPr>
              <w:t>The following activities fall outside the charter’s scope and will not be directly addressed:</w:t>
            </w:r>
          </w:p>
          <w:p w14:paraId="12923F95" w14:textId="77777777" w:rsidR="00606F61" w:rsidRPr="00CC6335" w:rsidRDefault="00606F61" w:rsidP="00606F61">
            <w:pPr>
              <w:contextualSpacing/>
              <w:rPr>
                <w:rFonts w:cs="Calibri"/>
              </w:rPr>
            </w:pPr>
          </w:p>
          <w:p w14:paraId="0F9E0548" w14:textId="77777777" w:rsidR="00606F61" w:rsidRPr="00CC6335" w:rsidRDefault="00606F61" w:rsidP="00606F61">
            <w:pPr>
              <w:numPr>
                <w:ilvl w:val="0"/>
                <w:numId w:val="5"/>
              </w:numPr>
              <w:contextualSpacing/>
              <w:rPr>
                <w:rFonts w:cs="Calibri"/>
              </w:rPr>
            </w:pPr>
            <w:r w:rsidRPr="00CC6335">
              <w:rPr>
                <w:rFonts w:cs="Calibri"/>
                <w:b/>
                <w:bCs/>
              </w:rPr>
              <w:t>Implementing Legislative or Policy Changes:</w:t>
            </w:r>
          </w:p>
          <w:p w14:paraId="3C3D5FF1" w14:textId="77777777" w:rsidR="00606F61" w:rsidRPr="00CC6335" w:rsidRDefault="00606F61" w:rsidP="00606F61">
            <w:pPr>
              <w:numPr>
                <w:ilvl w:val="1"/>
                <w:numId w:val="5"/>
              </w:numPr>
              <w:contextualSpacing/>
              <w:rPr>
                <w:rFonts w:cs="Calibri"/>
              </w:rPr>
            </w:pPr>
            <w:r w:rsidRPr="00CC6335">
              <w:rPr>
                <w:rFonts w:cs="Calibri"/>
              </w:rPr>
              <w:t>While the project will propose reforms, enacting legislative updates or policy changes will require separate action by policymakers.</w:t>
            </w:r>
          </w:p>
          <w:p w14:paraId="199670A7" w14:textId="77777777" w:rsidR="00606F61" w:rsidRPr="00CC6335" w:rsidRDefault="00606F61" w:rsidP="00606F61">
            <w:pPr>
              <w:numPr>
                <w:ilvl w:val="0"/>
                <w:numId w:val="5"/>
              </w:numPr>
              <w:contextualSpacing/>
              <w:rPr>
                <w:rFonts w:cs="Calibri"/>
              </w:rPr>
            </w:pPr>
            <w:r w:rsidRPr="00CC6335">
              <w:rPr>
                <w:rFonts w:cs="Calibri"/>
                <w:b/>
                <w:bCs/>
              </w:rPr>
              <w:t>Providing Direct Services:</w:t>
            </w:r>
          </w:p>
          <w:p w14:paraId="3B6C70D0" w14:textId="77777777" w:rsidR="00606F61" w:rsidRPr="00CC6335" w:rsidRDefault="00606F61" w:rsidP="00606F61">
            <w:pPr>
              <w:numPr>
                <w:ilvl w:val="1"/>
                <w:numId w:val="5"/>
              </w:numPr>
              <w:contextualSpacing/>
              <w:rPr>
                <w:rFonts w:cs="Calibri"/>
              </w:rPr>
            </w:pPr>
            <w:r w:rsidRPr="00CC6335">
              <w:rPr>
                <w:rFonts w:cs="Calibri"/>
              </w:rPr>
              <w:t>The charter focuses on system-level analysis and recommendations, not direct intervention or service provision to individuals.</w:t>
            </w:r>
          </w:p>
          <w:p w14:paraId="4A30B39A" w14:textId="77777777" w:rsidR="00606F61" w:rsidRPr="00CC6335" w:rsidRDefault="00606F61" w:rsidP="00606F61">
            <w:pPr>
              <w:numPr>
                <w:ilvl w:val="0"/>
                <w:numId w:val="5"/>
              </w:numPr>
              <w:contextualSpacing/>
              <w:rPr>
                <w:rFonts w:cs="Calibri"/>
              </w:rPr>
            </w:pPr>
            <w:r w:rsidRPr="00CC6335">
              <w:rPr>
                <w:rFonts w:cs="Calibri"/>
                <w:b/>
                <w:bCs/>
              </w:rPr>
              <w:t>Developing or Funding New Programs:</w:t>
            </w:r>
          </w:p>
          <w:p w14:paraId="49670532" w14:textId="77777777" w:rsidR="00606F61" w:rsidRPr="00CC6335" w:rsidRDefault="00606F61" w:rsidP="00606F61">
            <w:pPr>
              <w:numPr>
                <w:ilvl w:val="1"/>
                <w:numId w:val="5"/>
              </w:numPr>
              <w:contextualSpacing/>
              <w:rPr>
                <w:rFonts w:cs="Calibri"/>
              </w:rPr>
            </w:pPr>
            <w:r w:rsidRPr="00CC6335">
              <w:rPr>
                <w:rFonts w:cs="Calibri"/>
              </w:rPr>
              <w:t>Recommendations may suggest new models, but the development, implementation, and funding of such programs will be separate efforts.</w:t>
            </w:r>
          </w:p>
          <w:p w14:paraId="103F185F" w14:textId="77777777" w:rsidR="00606F61" w:rsidRPr="00CC6335" w:rsidRDefault="00606F61" w:rsidP="00606F61">
            <w:pPr>
              <w:numPr>
                <w:ilvl w:val="0"/>
                <w:numId w:val="5"/>
              </w:numPr>
              <w:contextualSpacing/>
              <w:rPr>
                <w:rFonts w:cs="Calibri"/>
              </w:rPr>
            </w:pPr>
            <w:r w:rsidRPr="00CC6335">
              <w:rPr>
                <w:rFonts w:cs="Calibri"/>
                <w:b/>
                <w:bCs/>
              </w:rPr>
              <w:t>Individual Case Reviews:</w:t>
            </w:r>
          </w:p>
          <w:p w14:paraId="5F96B9BE" w14:textId="77777777" w:rsidR="00606F61" w:rsidRPr="00CC6335" w:rsidRDefault="00606F61" w:rsidP="00606F61">
            <w:pPr>
              <w:numPr>
                <w:ilvl w:val="1"/>
                <w:numId w:val="5"/>
              </w:numPr>
              <w:contextualSpacing/>
              <w:rPr>
                <w:rFonts w:cs="Calibri"/>
              </w:rPr>
            </w:pPr>
            <w:r w:rsidRPr="00CC6335">
              <w:rPr>
                <w:rFonts w:cs="Calibri"/>
              </w:rPr>
              <w:t>The analysis will focus on system-wide trends and issues rather than investigating specific cases.</w:t>
            </w:r>
          </w:p>
          <w:p w14:paraId="3460A7EF" w14:textId="77777777" w:rsidR="00606F61" w:rsidRPr="00CC6335" w:rsidRDefault="00606F61" w:rsidP="00606F61">
            <w:pPr>
              <w:numPr>
                <w:ilvl w:val="0"/>
                <w:numId w:val="5"/>
              </w:numPr>
              <w:contextualSpacing/>
              <w:rPr>
                <w:rFonts w:cs="Calibri"/>
              </w:rPr>
            </w:pPr>
            <w:r w:rsidRPr="00CC6335">
              <w:rPr>
                <w:rFonts w:cs="Calibri"/>
                <w:b/>
                <w:bCs/>
              </w:rPr>
              <w:t>Legislative Advocacy or Lobbying:</w:t>
            </w:r>
          </w:p>
          <w:p w14:paraId="2FB16A55" w14:textId="77777777" w:rsidR="007F2AC4" w:rsidRPr="000E6826" w:rsidRDefault="00606F61" w:rsidP="00CC6335">
            <w:pPr>
              <w:numPr>
                <w:ilvl w:val="1"/>
                <w:numId w:val="5"/>
              </w:numPr>
              <w:contextualSpacing/>
            </w:pPr>
            <w:r w:rsidRPr="00CC6335">
              <w:rPr>
                <w:rFonts w:cs="Calibri"/>
              </w:rPr>
              <w:t>The workgroup will provide policy recommendations but will not engage in advocacy or lobbying efforts.</w:t>
            </w:r>
          </w:p>
          <w:p w14:paraId="056825DD" w14:textId="77777777" w:rsidR="000E6826" w:rsidRDefault="000E6826" w:rsidP="000E6826">
            <w:pPr>
              <w:ind w:left="1080"/>
              <w:contextualSpacing/>
            </w:pPr>
          </w:p>
          <w:p w14:paraId="04558B3E" w14:textId="77777777" w:rsidR="00D22D1E" w:rsidRDefault="00D22D1E" w:rsidP="000E6826">
            <w:pPr>
              <w:ind w:left="1080"/>
              <w:contextualSpacing/>
            </w:pPr>
          </w:p>
          <w:p w14:paraId="7713957A" w14:textId="38D225C7" w:rsidR="00D22D1E" w:rsidRPr="0047052B" w:rsidRDefault="00D22D1E" w:rsidP="000E6826">
            <w:pPr>
              <w:ind w:left="1080"/>
              <w:contextualSpacing/>
            </w:pPr>
          </w:p>
        </w:tc>
      </w:tr>
      <w:tr w:rsidR="007F2AC4" w:rsidRPr="00BC071B" w14:paraId="023F5BD0" w14:textId="77777777" w:rsidTr="00CB65B5">
        <w:tc>
          <w:tcPr>
            <w:tcW w:w="9350" w:type="dxa"/>
            <w:gridSpan w:val="3"/>
            <w:shd w:val="clear" w:color="auto" w:fill="B3E5A1" w:themeFill="accent6" w:themeFillTint="66"/>
          </w:tcPr>
          <w:p w14:paraId="38752CAB" w14:textId="674BD1B2" w:rsidR="007F2AC4" w:rsidRPr="00BC071B" w:rsidRDefault="00CB65B5" w:rsidP="00CB65B5">
            <w:pPr>
              <w:jc w:val="center"/>
              <w:rPr>
                <w:b/>
                <w:bCs/>
                <w:sz w:val="28"/>
                <w:szCs w:val="28"/>
              </w:rPr>
            </w:pPr>
            <w:r>
              <w:rPr>
                <w:b/>
                <w:bCs/>
                <w:sz w:val="28"/>
                <w:szCs w:val="28"/>
              </w:rPr>
              <w:lastRenderedPageBreak/>
              <w:t>HIGH-LEVEL RISKS</w:t>
            </w:r>
          </w:p>
        </w:tc>
      </w:tr>
    </w:tbl>
    <w:tbl>
      <w:tblPr>
        <w:tblStyle w:val="TableGrid1"/>
        <w:tblW w:w="9360" w:type="dxa"/>
        <w:tblInd w:w="-5" w:type="dxa"/>
        <w:tblLook w:val="04A0" w:firstRow="1" w:lastRow="0" w:firstColumn="1" w:lastColumn="0" w:noHBand="0" w:noVBand="1"/>
      </w:tblPr>
      <w:tblGrid>
        <w:gridCol w:w="2885"/>
        <w:gridCol w:w="2245"/>
        <w:gridCol w:w="4230"/>
      </w:tblGrid>
      <w:tr w:rsidR="0097128A" w:rsidRPr="00FD7F37" w14:paraId="2CB9F496" w14:textId="77777777" w:rsidTr="00D23F65">
        <w:tc>
          <w:tcPr>
            <w:tcW w:w="2885" w:type="dxa"/>
          </w:tcPr>
          <w:p w14:paraId="36BB2852" w14:textId="77777777" w:rsidR="0097128A" w:rsidRPr="00CC6335" w:rsidRDefault="0097128A" w:rsidP="00D93E0F">
            <w:pPr>
              <w:rPr>
                <w:rFonts w:cs="Calibri"/>
                <w:b/>
                <w:bCs/>
              </w:rPr>
            </w:pPr>
            <w:r w:rsidRPr="00CC6335">
              <w:rPr>
                <w:rFonts w:cs="Calibri"/>
                <w:b/>
                <w:bCs/>
              </w:rPr>
              <w:t>Recommendation</w:t>
            </w:r>
          </w:p>
        </w:tc>
        <w:tc>
          <w:tcPr>
            <w:tcW w:w="2245" w:type="dxa"/>
          </w:tcPr>
          <w:p w14:paraId="4506AEDA" w14:textId="77777777" w:rsidR="0097128A" w:rsidRPr="00CC6335" w:rsidRDefault="0097128A" w:rsidP="00D93E0F">
            <w:pPr>
              <w:rPr>
                <w:rFonts w:cs="Calibri"/>
                <w:b/>
                <w:bCs/>
              </w:rPr>
            </w:pPr>
            <w:r w:rsidRPr="00CC6335">
              <w:rPr>
                <w:rFonts w:cs="Calibri"/>
                <w:b/>
                <w:bCs/>
              </w:rPr>
              <w:t>Risk</w:t>
            </w:r>
          </w:p>
        </w:tc>
        <w:tc>
          <w:tcPr>
            <w:tcW w:w="4230" w:type="dxa"/>
          </w:tcPr>
          <w:p w14:paraId="2C6EAB9A" w14:textId="77777777" w:rsidR="0097128A" w:rsidRPr="00CC6335" w:rsidRDefault="0097128A" w:rsidP="00D93E0F">
            <w:pPr>
              <w:rPr>
                <w:rFonts w:cs="Calibri"/>
                <w:b/>
                <w:bCs/>
              </w:rPr>
            </w:pPr>
            <w:r w:rsidRPr="00CC6335">
              <w:rPr>
                <w:rFonts w:cs="Calibri"/>
                <w:b/>
                <w:bCs/>
              </w:rPr>
              <w:t>Mitigation Strategy</w:t>
            </w:r>
          </w:p>
        </w:tc>
      </w:tr>
      <w:tr w:rsidR="0097128A" w:rsidRPr="00FD7F37" w14:paraId="7813A159" w14:textId="77777777" w:rsidTr="00D23F65">
        <w:tc>
          <w:tcPr>
            <w:tcW w:w="2885" w:type="dxa"/>
          </w:tcPr>
          <w:p w14:paraId="74E8D676" w14:textId="77777777" w:rsidR="0097128A" w:rsidRPr="00CC6335" w:rsidRDefault="0097128A" w:rsidP="00D93E0F">
            <w:pPr>
              <w:rPr>
                <w:rFonts w:cs="Calibri"/>
              </w:rPr>
            </w:pPr>
            <w:r w:rsidRPr="00CC6335">
              <w:rPr>
                <w:rFonts w:cs="Calibri"/>
              </w:rPr>
              <w:t>Conduct a Comprehensive Assessment and Analyze Ways to Reform the Competency to Stand Trial System</w:t>
            </w:r>
          </w:p>
        </w:tc>
        <w:tc>
          <w:tcPr>
            <w:tcW w:w="2245" w:type="dxa"/>
          </w:tcPr>
          <w:p w14:paraId="23786102" w14:textId="77777777" w:rsidR="0097128A" w:rsidRPr="00CC6335" w:rsidRDefault="0097128A" w:rsidP="00D93E0F">
            <w:pPr>
              <w:rPr>
                <w:rFonts w:cs="Calibri"/>
              </w:rPr>
            </w:pPr>
            <w:r w:rsidRPr="00CC6335">
              <w:rPr>
                <w:rFonts w:cs="Calibri"/>
              </w:rPr>
              <w:t>Data Availability and Quality</w:t>
            </w:r>
          </w:p>
        </w:tc>
        <w:tc>
          <w:tcPr>
            <w:tcW w:w="4230" w:type="dxa"/>
          </w:tcPr>
          <w:p w14:paraId="06278494" w14:textId="3515E1D5" w:rsidR="00BB4DF5" w:rsidRDefault="0097128A" w:rsidP="00D93E0F">
            <w:pPr>
              <w:rPr>
                <w:rFonts w:cs="Calibri"/>
              </w:rPr>
            </w:pPr>
            <w:r w:rsidRPr="00CC6335">
              <w:rPr>
                <w:rFonts w:cs="Calibri"/>
              </w:rPr>
              <w:t>Collaborate with state agencies and judicial systems to ensure comprehensive</w:t>
            </w:r>
            <w:r w:rsidR="003262C5">
              <w:rPr>
                <w:rFonts w:cs="Calibri"/>
              </w:rPr>
              <w:t xml:space="preserve"> </w:t>
            </w:r>
            <w:r w:rsidRPr="00CC6335">
              <w:rPr>
                <w:rFonts w:cs="Calibri"/>
              </w:rPr>
              <w:t xml:space="preserve">data access. </w:t>
            </w:r>
            <w:r w:rsidR="00BB4DF5">
              <w:rPr>
                <w:rFonts w:cs="Calibri"/>
              </w:rPr>
              <w:t xml:space="preserve"> </w:t>
            </w:r>
          </w:p>
          <w:p w14:paraId="5C2E522E" w14:textId="725D7391" w:rsidR="0097128A" w:rsidRPr="00CC6335" w:rsidRDefault="0097128A" w:rsidP="00D93E0F">
            <w:pPr>
              <w:rPr>
                <w:rFonts w:cs="Calibri"/>
              </w:rPr>
            </w:pPr>
            <w:r w:rsidRPr="00CC6335">
              <w:rPr>
                <w:rFonts w:cs="Calibri"/>
              </w:rPr>
              <w:t>Standardize data collection methods and validate data accuracy.</w:t>
            </w:r>
          </w:p>
        </w:tc>
      </w:tr>
      <w:tr w:rsidR="0097128A" w:rsidRPr="00FD7F37" w14:paraId="149465D8" w14:textId="77777777" w:rsidTr="00D23F65">
        <w:tc>
          <w:tcPr>
            <w:tcW w:w="2885" w:type="dxa"/>
          </w:tcPr>
          <w:p w14:paraId="2421D017" w14:textId="77777777" w:rsidR="0097128A" w:rsidRPr="00CC6335" w:rsidRDefault="0097128A" w:rsidP="00D93E0F">
            <w:pPr>
              <w:rPr>
                <w:rFonts w:cs="Calibri"/>
              </w:rPr>
            </w:pPr>
          </w:p>
        </w:tc>
        <w:tc>
          <w:tcPr>
            <w:tcW w:w="2245" w:type="dxa"/>
          </w:tcPr>
          <w:p w14:paraId="4038C677" w14:textId="77777777" w:rsidR="0097128A" w:rsidRPr="00CC6335" w:rsidRDefault="0097128A" w:rsidP="00D93E0F">
            <w:pPr>
              <w:rPr>
                <w:rFonts w:cs="Calibri"/>
              </w:rPr>
            </w:pPr>
            <w:r w:rsidRPr="00CC6335">
              <w:rPr>
                <w:rFonts w:cs="Calibri"/>
              </w:rPr>
              <w:t>Resistance to Change</w:t>
            </w:r>
          </w:p>
        </w:tc>
        <w:tc>
          <w:tcPr>
            <w:tcW w:w="4230" w:type="dxa"/>
          </w:tcPr>
          <w:p w14:paraId="5D22A157" w14:textId="77777777" w:rsidR="0097128A" w:rsidRPr="00CC6335" w:rsidRDefault="0097128A" w:rsidP="00D93E0F">
            <w:pPr>
              <w:rPr>
                <w:rFonts w:cs="Calibri"/>
              </w:rPr>
            </w:pPr>
            <w:r w:rsidRPr="00CC6335">
              <w:rPr>
                <w:rFonts w:cs="Calibri"/>
              </w:rPr>
              <w:t>Engage stakeholders early in the process through regular consultations and transparent communication. Highlight evidence-based practices and success stories from other states.</w:t>
            </w:r>
          </w:p>
        </w:tc>
      </w:tr>
      <w:tr w:rsidR="0097128A" w:rsidRPr="00FD7F37" w14:paraId="74C17C55" w14:textId="77777777" w:rsidTr="00D23F65">
        <w:tc>
          <w:tcPr>
            <w:tcW w:w="2885" w:type="dxa"/>
          </w:tcPr>
          <w:p w14:paraId="1C13BDC7" w14:textId="77777777" w:rsidR="0097128A" w:rsidRPr="00CC6335" w:rsidRDefault="0097128A" w:rsidP="00D93E0F">
            <w:pPr>
              <w:rPr>
                <w:rFonts w:cs="Calibri"/>
              </w:rPr>
            </w:pPr>
          </w:p>
        </w:tc>
        <w:tc>
          <w:tcPr>
            <w:tcW w:w="2245" w:type="dxa"/>
          </w:tcPr>
          <w:p w14:paraId="3C643883" w14:textId="77777777" w:rsidR="0097128A" w:rsidRPr="00CC6335" w:rsidRDefault="0097128A" w:rsidP="00D93E0F">
            <w:pPr>
              <w:rPr>
                <w:rFonts w:cs="Calibri"/>
              </w:rPr>
            </w:pPr>
            <w:r w:rsidRPr="00CC6335">
              <w:rPr>
                <w:rFonts w:cs="Calibri"/>
              </w:rPr>
              <w:t>Legal and Policy Constraints</w:t>
            </w:r>
          </w:p>
        </w:tc>
        <w:tc>
          <w:tcPr>
            <w:tcW w:w="4230" w:type="dxa"/>
          </w:tcPr>
          <w:p w14:paraId="6BD8BC6C" w14:textId="77777777" w:rsidR="0097128A" w:rsidRPr="00CC6335" w:rsidRDefault="0097128A" w:rsidP="00D93E0F">
            <w:pPr>
              <w:rPr>
                <w:rFonts w:cs="Calibri"/>
              </w:rPr>
            </w:pPr>
            <w:r w:rsidRPr="00CC6335">
              <w:rPr>
                <w:rFonts w:cs="Calibri"/>
              </w:rPr>
              <w:t>Involve legal experts in policy review and reform discussions. Ensure compliance with state and federal laws while proposing innovative solutions.</w:t>
            </w:r>
          </w:p>
        </w:tc>
      </w:tr>
      <w:tr w:rsidR="0097128A" w:rsidRPr="00FD7F37" w14:paraId="3210F7A8" w14:textId="77777777" w:rsidTr="00D23F65">
        <w:tc>
          <w:tcPr>
            <w:tcW w:w="2885" w:type="dxa"/>
          </w:tcPr>
          <w:p w14:paraId="3DCBC7E2" w14:textId="77777777" w:rsidR="0097128A" w:rsidRPr="00CC6335" w:rsidRDefault="0097128A" w:rsidP="00D93E0F">
            <w:pPr>
              <w:rPr>
                <w:rFonts w:cs="Calibri"/>
              </w:rPr>
            </w:pPr>
          </w:p>
        </w:tc>
        <w:tc>
          <w:tcPr>
            <w:tcW w:w="2245" w:type="dxa"/>
          </w:tcPr>
          <w:p w14:paraId="4DBFFE72" w14:textId="77777777" w:rsidR="0097128A" w:rsidRPr="00CC6335" w:rsidRDefault="0097128A" w:rsidP="00D93E0F">
            <w:pPr>
              <w:rPr>
                <w:rFonts w:cs="Calibri"/>
              </w:rPr>
            </w:pPr>
            <w:r w:rsidRPr="00CC6335">
              <w:rPr>
                <w:rFonts w:cs="Calibri"/>
              </w:rPr>
              <w:t>Workforce Shortages</w:t>
            </w:r>
          </w:p>
        </w:tc>
        <w:tc>
          <w:tcPr>
            <w:tcW w:w="4230" w:type="dxa"/>
          </w:tcPr>
          <w:p w14:paraId="599130FB" w14:textId="77777777" w:rsidR="0097128A" w:rsidRPr="00CC6335" w:rsidRDefault="0097128A" w:rsidP="00D93E0F">
            <w:pPr>
              <w:rPr>
                <w:rFonts w:cs="Calibri"/>
              </w:rPr>
            </w:pPr>
            <w:r w:rsidRPr="00CC6335">
              <w:rPr>
                <w:rFonts w:cs="Calibri"/>
              </w:rPr>
              <w:t>Assess current staffing levels and develop targeted recruitment and training programs for forensic evaluators, mental health and developmental disabilities professionals.</w:t>
            </w:r>
          </w:p>
        </w:tc>
      </w:tr>
      <w:tr w:rsidR="0097128A" w:rsidRPr="00FD7F37" w14:paraId="004F1884" w14:textId="77777777" w:rsidTr="00D23F65">
        <w:tc>
          <w:tcPr>
            <w:tcW w:w="2885" w:type="dxa"/>
          </w:tcPr>
          <w:p w14:paraId="4FF9C624" w14:textId="77777777" w:rsidR="0097128A" w:rsidRPr="00CC6335" w:rsidRDefault="0097128A" w:rsidP="00D93E0F">
            <w:pPr>
              <w:rPr>
                <w:rFonts w:cs="Calibri"/>
              </w:rPr>
            </w:pPr>
          </w:p>
        </w:tc>
        <w:tc>
          <w:tcPr>
            <w:tcW w:w="2245" w:type="dxa"/>
          </w:tcPr>
          <w:p w14:paraId="3C333250" w14:textId="77777777" w:rsidR="0097128A" w:rsidRPr="00CC6335" w:rsidRDefault="0097128A" w:rsidP="00D93E0F">
            <w:pPr>
              <w:rPr>
                <w:rFonts w:cs="Calibri"/>
              </w:rPr>
            </w:pPr>
            <w:r w:rsidRPr="00CC6335">
              <w:rPr>
                <w:rFonts w:cs="Calibri"/>
              </w:rPr>
              <w:t>Infrastructure Limitations</w:t>
            </w:r>
          </w:p>
        </w:tc>
        <w:tc>
          <w:tcPr>
            <w:tcW w:w="4230" w:type="dxa"/>
          </w:tcPr>
          <w:p w14:paraId="131DFBBC" w14:textId="77777777" w:rsidR="0097128A" w:rsidRPr="00CC6335" w:rsidRDefault="0097128A" w:rsidP="00D93E0F">
            <w:pPr>
              <w:rPr>
                <w:rFonts w:cs="Calibri"/>
              </w:rPr>
            </w:pPr>
            <w:r w:rsidRPr="00CC6335">
              <w:rPr>
                <w:rFonts w:cs="Calibri"/>
              </w:rPr>
              <w:t>Evaluate existing facility capacity and explore community-based restoration models to reduce demand on inpatient services.</w:t>
            </w:r>
          </w:p>
        </w:tc>
      </w:tr>
      <w:tr w:rsidR="0097128A" w:rsidRPr="00FD7F37" w14:paraId="5B692D5B" w14:textId="77777777" w:rsidTr="00D23F65">
        <w:tc>
          <w:tcPr>
            <w:tcW w:w="2885" w:type="dxa"/>
          </w:tcPr>
          <w:p w14:paraId="756C42C9" w14:textId="77777777" w:rsidR="0097128A" w:rsidRPr="00CC6335" w:rsidRDefault="0097128A" w:rsidP="00D93E0F">
            <w:pPr>
              <w:rPr>
                <w:rFonts w:cs="Calibri"/>
              </w:rPr>
            </w:pPr>
            <w:r w:rsidRPr="00CC6335">
              <w:rPr>
                <w:rFonts w:cs="Calibri"/>
              </w:rPr>
              <w:t>Establish a Multidisciplinary Group to Review Juvenile Statute I.C. 20-519</w:t>
            </w:r>
          </w:p>
        </w:tc>
        <w:tc>
          <w:tcPr>
            <w:tcW w:w="2245" w:type="dxa"/>
          </w:tcPr>
          <w:p w14:paraId="554B1A1F" w14:textId="77777777" w:rsidR="0097128A" w:rsidRPr="00CC6335" w:rsidRDefault="0097128A" w:rsidP="00D93E0F">
            <w:pPr>
              <w:rPr>
                <w:rFonts w:cs="Calibri"/>
              </w:rPr>
            </w:pPr>
            <w:r w:rsidRPr="00CC6335">
              <w:rPr>
                <w:rFonts w:cs="Calibri"/>
              </w:rPr>
              <w:t>Stakeholder Misalignment</w:t>
            </w:r>
          </w:p>
        </w:tc>
        <w:tc>
          <w:tcPr>
            <w:tcW w:w="4230" w:type="dxa"/>
          </w:tcPr>
          <w:p w14:paraId="3D35FE4A" w14:textId="77777777" w:rsidR="0097128A" w:rsidRPr="00CC6335" w:rsidRDefault="0097128A" w:rsidP="00D93E0F">
            <w:pPr>
              <w:rPr>
                <w:rFonts w:cs="Calibri"/>
              </w:rPr>
            </w:pPr>
            <w:r w:rsidRPr="00CC6335">
              <w:rPr>
                <w:rFonts w:cs="Calibri"/>
              </w:rPr>
              <w:t>Ensure broad representation from juvenile courts, public defenders, prosecutors, and advocacy groups. Foster collaborative decision-making and consensus-building.</w:t>
            </w:r>
          </w:p>
        </w:tc>
      </w:tr>
      <w:tr w:rsidR="0097128A" w:rsidRPr="00FD7F37" w14:paraId="6555419B" w14:textId="77777777" w:rsidTr="00D23F65">
        <w:tc>
          <w:tcPr>
            <w:tcW w:w="2885" w:type="dxa"/>
          </w:tcPr>
          <w:p w14:paraId="6CFDD90B" w14:textId="77777777" w:rsidR="0097128A" w:rsidRPr="00CC6335" w:rsidRDefault="0097128A" w:rsidP="00D93E0F">
            <w:pPr>
              <w:rPr>
                <w:rFonts w:cs="Calibri"/>
              </w:rPr>
            </w:pPr>
          </w:p>
        </w:tc>
        <w:tc>
          <w:tcPr>
            <w:tcW w:w="2245" w:type="dxa"/>
          </w:tcPr>
          <w:p w14:paraId="617C64CB" w14:textId="77777777" w:rsidR="0097128A" w:rsidRPr="00CC6335" w:rsidRDefault="0097128A" w:rsidP="00D93E0F">
            <w:pPr>
              <w:rPr>
                <w:rFonts w:cs="Calibri"/>
              </w:rPr>
            </w:pPr>
            <w:r w:rsidRPr="00CC6335">
              <w:rPr>
                <w:rFonts w:cs="Calibri"/>
              </w:rPr>
              <w:t>Insufficient Data</w:t>
            </w:r>
          </w:p>
        </w:tc>
        <w:tc>
          <w:tcPr>
            <w:tcW w:w="4230" w:type="dxa"/>
          </w:tcPr>
          <w:p w14:paraId="7C33ABDD" w14:textId="77777777" w:rsidR="0097128A" w:rsidRPr="00CC6335" w:rsidRDefault="0097128A" w:rsidP="00D93E0F">
            <w:pPr>
              <w:rPr>
                <w:rFonts w:cs="Calibri"/>
              </w:rPr>
            </w:pPr>
            <w:r w:rsidRPr="00CC6335">
              <w:rPr>
                <w:rFonts w:cs="Calibri"/>
              </w:rPr>
              <w:t>Design a robust data collection framework, including regional case studies and outcome analysis, to inform policy recommendations.</w:t>
            </w:r>
          </w:p>
        </w:tc>
      </w:tr>
      <w:tr w:rsidR="0097128A" w:rsidRPr="00FD7F37" w14:paraId="3FEFB273" w14:textId="77777777" w:rsidTr="00D23F65">
        <w:tc>
          <w:tcPr>
            <w:tcW w:w="2885" w:type="dxa"/>
          </w:tcPr>
          <w:p w14:paraId="12C2CF1F" w14:textId="77777777" w:rsidR="0097128A" w:rsidRPr="00CC6335" w:rsidRDefault="0097128A" w:rsidP="00D93E0F">
            <w:pPr>
              <w:rPr>
                <w:rFonts w:cs="Calibri"/>
              </w:rPr>
            </w:pPr>
          </w:p>
        </w:tc>
        <w:tc>
          <w:tcPr>
            <w:tcW w:w="2245" w:type="dxa"/>
          </w:tcPr>
          <w:p w14:paraId="56909CBF" w14:textId="77777777" w:rsidR="0097128A" w:rsidRPr="00CC6335" w:rsidRDefault="0097128A" w:rsidP="00D93E0F">
            <w:pPr>
              <w:rPr>
                <w:rFonts w:cs="Calibri"/>
              </w:rPr>
            </w:pPr>
            <w:r w:rsidRPr="00CC6335">
              <w:rPr>
                <w:rFonts w:cs="Calibri"/>
              </w:rPr>
              <w:t>Limited Engagement from Families and Youth</w:t>
            </w:r>
          </w:p>
        </w:tc>
        <w:tc>
          <w:tcPr>
            <w:tcW w:w="4230" w:type="dxa"/>
          </w:tcPr>
          <w:p w14:paraId="04DA25FB" w14:textId="77777777" w:rsidR="0097128A" w:rsidRPr="00CC6335" w:rsidRDefault="0097128A" w:rsidP="00D93E0F">
            <w:pPr>
              <w:rPr>
                <w:rFonts w:cs="Calibri"/>
              </w:rPr>
            </w:pPr>
            <w:r w:rsidRPr="00CC6335">
              <w:rPr>
                <w:rFonts w:cs="Calibri"/>
              </w:rPr>
              <w:t>Conduct outreach through community organizations and advocacy groups to involve families and youth with lived experience.</w:t>
            </w:r>
          </w:p>
        </w:tc>
      </w:tr>
      <w:tr w:rsidR="0097128A" w:rsidRPr="00FD7F37" w14:paraId="6A11A0C3" w14:textId="77777777" w:rsidTr="00D23F65">
        <w:tc>
          <w:tcPr>
            <w:tcW w:w="2885" w:type="dxa"/>
          </w:tcPr>
          <w:p w14:paraId="699DBC51" w14:textId="77777777" w:rsidR="0097128A" w:rsidRPr="00CC6335" w:rsidRDefault="0097128A" w:rsidP="00D93E0F">
            <w:pPr>
              <w:rPr>
                <w:rFonts w:cs="Calibri"/>
              </w:rPr>
            </w:pPr>
          </w:p>
        </w:tc>
        <w:tc>
          <w:tcPr>
            <w:tcW w:w="2245" w:type="dxa"/>
          </w:tcPr>
          <w:p w14:paraId="634E67C2" w14:textId="77777777" w:rsidR="0097128A" w:rsidRPr="00CC6335" w:rsidRDefault="0097128A" w:rsidP="00D93E0F">
            <w:pPr>
              <w:rPr>
                <w:rFonts w:cs="Calibri"/>
              </w:rPr>
            </w:pPr>
            <w:r w:rsidRPr="00CC6335">
              <w:rPr>
                <w:rFonts w:cs="Calibri"/>
              </w:rPr>
              <w:t>Policy Implementation Challenges</w:t>
            </w:r>
          </w:p>
        </w:tc>
        <w:tc>
          <w:tcPr>
            <w:tcW w:w="4230" w:type="dxa"/>
          </w:tcPr>
          <w:p w14:paraId="51EF72BD" w14:textId="77777777" w:rsidR="0097128A" w:rsidRPr="00CC6335" w:rsidRDefault="0097128A" w:rsidP="00D93E0F">
            <w:pPr>
              <w:rPr>
                <w:rFonts w:cs="Calibri"/>
              </w:rPr>
            </w:pPr>
            <w:r w:rsidRPr="00CC6335">
              <w:rPr>
                <w:rFonts w:cs="Calibri"/>
              </w:rPr>
              <w:t>Develop clear guidelines and training programs to support the application of revised statutes and best practices.</w:t>
            </w:r>
          </w:p>
        </w:tc>
      </w:tr>
      <w:tr w:rsidR="0097128A" w:rsidRPr="00FD7F37" w14:paraId="6850EEC0" w14:textId="77777777" w:rsidTr="00D23F65">
        <w:tc>
          <w:tcPr>
            <w:tcW w:w="2885" w:type="dxa"/>
          </w:tcPr>
          <w:p w14:paraId="41514C74" w14:textId="77777777" w:rsidR="0097128A" w:rsidRPr="00CC6335" w:rsidRDefault="0097128A" w:rsidP="00D93E0F">
            <w:pPr>
              <w:rPr>
                <w:rFonts w:cs="Calibri"/>
              </w:rPr>
            </w:pPr>
          </w:p>
        </w:tc>
        <w:tc>
          <w:tcPr>
            <w:tcW w:w="2245" w:type="dxa"/>
          </w:tcPr>
          <w:p w14:paraId="66EEE265" w14:textId="77777777" w:rsidR="0097128A" w:rsidRPr="00CC6335" w:rsidRDefault="0097128A" w:rsidP="00D93E0F">
            <w:pPr>
              <w:rPr>
                <w:rFonts w:cs="Calibri"/>
              </w:rPr>
            </w:pPr>
            <w:r w:rsidRPr="00CC6335">
              <w:rPr>
                <w:rFonts w:cs="Calibri"/>
              </w:rPr>
              <w:t>Resource Constraints</w:t>
            </w:r>
          </w:p>
        </w:tc>
        <w:tc>
          <w:tcPr>
            <w:tcW w:w="4230" w:type="dxa"/>
          </w:tcPr>
          <w:p w14:paraId="757017E0" w14:textId="77777777" w:rsidR="0097128A" w:rsidRPr="00CC6335" w:rsidRDefault="0097128A" w:rsidP="00D93E0F">
            <w:pPr>
              <w:rPr>
                <w:rFonts w:cs="Calibri"/>
              </w:rPr>
            </w:pPr>
            <w:r w:rsidRPr="00CC6335">
              <w:rPr>
                <w:rFonts w:cs="Calibri"/>
              </w:rPr>
              <w:t>Identify funding opportunities and partnerships to support infrastructure, training, and service delivery improvements.</w:t>
            </w:r>
          </w:p>
        </w:tc>
      </w:tr>
    </w:tbl>
    <w:p w14:paraId="0FE185A1" w14:textId="77777777" w:rsidR="00724D54" w:rsidRDefault="00724D54"/>
    <w:p w14:paraId="2C96FF0D" w14:textId="77777777" w:rsidR="00A10C11" w:rsidRDefault="00A10C11"/>
    <w:tbl>
      <w:tblPr>
        <w:tblStyle w:val="TableGrid"/>
        <w:tblW w:w="0" w:type="auto"/>
        <w:tblLook w:val="04A0" w:firstRow="1" w:lastRow="0" w:firstColumn="1" w:lastColumn="0" w:noHBand="0" w:noVBand="1"/>
      </w:tblPr>
      <w:tblGrid>
        <w:gridCol w:w="2335"/>
        <w:gridCol w:w="7015"/>
      </w:tblGrid>
      <w:tr w:rsidR="000E1262" w:rsidRPr="00BC071B" w14:paraId="4A727965" w14:textId="77777777" w:rsidTr="000E1262">
        <w:tc>
          <w:tcPr>
            <w:tcW w:w="9350" w:type="dxa"/>
            <w:gridSpan w:val="2"/>
            <w:shd w:val="clear" w:color="auto" w:fill="B3E5A1" w:themeFill="accent6" w:themeFillTint="66"/>
          </w:tcPr>
          <w:p w14:paraId="3AFE5793" w14:textId="77777777" w:rsidR="000E1262" w:rsidRPr="00BC071B" w:rsidRDefault="000E1262" w:rsidP="000E1262">
            <w:pPr>
              <w:jc w:val="center"/>
              <w:rPr>
                <w:b/>
                <w:bCs/>
              </w:rPr>
            </w:pPr>
            <w:r w:rsidRPr="00BC071B">
              <w:rPr>
                <w:b/>
                <w:bCs/>
                <w:sz w:val="28"/>
                <w:szCs w:val="28"/>
              </w:rPr>
              <w:lastRenderedPageBreak/>
              <w:t>IMPLEMENTATION TEAM MEMBERS</w:t>
            </w:r>
          </w:p>
        </w:tc>
      </w:tr>
      <w:tr w:rsidR="00266A5A" w:rsidRPr="00BC071B" w14:paraId="0D40311C" w14:textId="77777777" w:rsidTr="00B8417A">
        <w:tc>
          <w:tcPr>
            <w:tcW w:w="2335" w:type="dxa"/>
            <w:vAlign w:val="bottom"/>
          </w:tcPr>
          <w:p w14:paraId="24A7ED1D" w14:textId="69DB3638" w:rsidR="00266A5A" w:rsidRPr="009D5E78" w:rsidRDefault="00266A5A" w:rsidP="00266A5A">
            <w:r w:rsidRPr="009D5E78">
              <w:rPr>
                <w:rFonts w:eastAsia="Times New Roman" w:cs="Calibri"/>
                <w:color w:val="000000"/>
                <w:kern w:val="0"/>
                <w14:ligatures w14:val="none"/>
              </w:rPr>
              <w:t>Ross Edmunds</w:t>
            </w:r>
          </w:p>
        </w:tc>
        <w:tc>
          <w:tcPr>
            <w:tcW w:w="7015" w:type="dxa"/>
            <w:vAlign w:val="bottom"/>
          </w:tcPr>
          <w:p w14:paraId="594027B5" w14:textId="4DB2A4DE" w:rsidR="00266A5A" w:rsidRPr="009D5E78" w:rsidRDefault="00266A5A" w:rsidP="00266A5A">
            <w:r w:rsidRPr="009D5E78">
              <w:rPr>
                <w:rFonts w:eastAsia="Times New Roman" w:cs="Calibri"/>
                <w:color w:val="000000"/>
                <w:kern w:val="0"/>
                <w14:ligatures w14:val="none"/>
              </w:rPr>
              <w:t>I</w:t>
            </w:r>
            <w:r w:rsidR="009D5E78" w:rsidRPr="009D5E78">
              <w:rPr>
                <w:rFonts w:eastAsia="Times New Roman" w:cs="Calibri"/>
                <w:color w:val="000000"/>
                <w:kern w:val="0"/>
                <w14:ligatures w14:val="none"/>
              </w:rPr>
              <w:t>daho Department of Health and Welfare Division of Behavioral Health</w:t>
            </w:r>
          </w:p>
        </w:tc>
      </w:tr>
      <w:tr w:rsidR="009D5E78" w:rsidRPr="00BC071B" w14:paraId="025374E3" w14:textId="77777777" w:rsidTr="00B8417A">
        <w:tc>
          <w:tcPr>
            <w:tcW w:w="2335" w:type="dxa"/>
            <w:vAlign w:val="bottom"/>
          </w:tcPr>
          <w:p w14:paraId="3257D56A" w14:textId="5BCBF144" w:rsidR="009D5E78" w:rsidRPr="009D5E78" w:rsidRDefault="009D5E78" w:rsidP="009D5E78">
            <w:r w:rsidRPr="009D5E78">
              <w:rPr>
                <w:rFonts w:eastAsia="Times New Roman" w:cs="Calibri"/>
                <w:color w:val="000000"/>
                <w:kern w:val="0"/>
                <w14:ligatures w14:val="none"/>
              </w:rPr>
              <w:t>Jennifer Burlage</w:t>
            </w:r>
          </w:p>
        </w:tc>
        <w:tc>
          <w:tcPr>
            <w:tcW w:w="7015" w:type="dxa"/>
            <w:vAlign w:val="bottom"/>
          </w:tcPr>
          <w:p w14:paraId="6EA31B19" w14:textId="528088F0" w:rsidR="009D5E78" w:rsidRPr="009D5E78" w:rsidRDefault="009D5E78" w:rsidP="009D5E78">
            <w:r w:rsidRPr="009D5E78">
              <w:rPr>
                <w:rFonts w:eastAsia="Times New Roman" w:cs="Calibri"/>
                <w:color w:val="000000"/>
                <w:kern w:val="0"/>
                <w14:ligatures w14:val="none"/>
              </w:rPr>
              <w:t>Idaho Department of Health and Welfare Division of Behavioral Health</w:t>
            </w:r>
          </w:p>
        </w:tc>
      </w:tr>
      <w:tr w:rsidR="009D5E78" w:rsidRPr="00BC071B" w14:paraId="7D14ED4A" w14:textId="77777777" w:rsidTr="00B8417A">
        <w:tc>
          <w:tcPr>
            <w:tcW w:w="2335" w:type="dxa"/>
            <w:vAlign w:val="bottom"/>
          </w:tcPr>
          <w:p w14:paraId="56B7E408" w14:textId="507CA781" w:rsidR="009D5E78" w:rsidRPr="009D5E78" w:rsidRDefault="009D5E78" w:rsidP="009D5E78">
            <w:r w:rsidRPr="009D5E78">
              <w:rPr>
                <w:rFonts w:eastAsia="Times New Roman" w:cs="Calibri"/>
                <w:color w:val="000000"/>
                <w:kern w:val="0"/>
                <w14:ligatures w14:val="none"/>
              </w:rPr>
              <w:t>Ellie Merrick</w:t>
            </w:r>
          </w:p>
        </w:tc>
        <w:tc>
          <w:tcPr>
            <w:tcW w:w="7015" w:type="dxa"/>
            <w:vAlign w:val="bottom"/>
          </w:tcPr>
          <w:p w14:paraId="67B3F041" w14:textId="16FEAB14" w:rsidR="009D5E78" w:rsidRPr="009D5E78" w:rsidRDefault="009D5E78" w:rsidP="009D5E78">
            <w:r w:rsidRPr="009D5E78">
              <w:rPr>
                <w:rFonts w:eastAsia="Times New Roman" w:cs="Calibri"/>
                <w:color w:val="000000"/>
                <w:kern w:val="0"/>
                <w14:ligatures w14:val="none"/>
              </w:rPr>
              <w:t>Idaho Department of Health and Welfare Division of Behavioral Health</w:t>
            </w:r>
          </w:p>
        </w:tc>
      </w:tr>
      <w:tr w:rsidR="009D5E78" w:rsidRPr="00BC071B" w14:paraId="5990D722" w14:textId="77777777" w:rsidTr="00B8417A">
        <w:tc>
          <w:tcPr>
            <w:tcW w:w="2335" w:type="dxa"/>
            <w:vAlign w:val="bottom"/>
          </w:tcPr>
          <w:p w14:paraId="26E01D81" w14:textId="10496F62" w:rsidR="009D5E78" w:rsidRPr="009D5E78" w:rsidRDefault="009D5E78" w:rsidP="009D5E78">
            <w:r w:rsidRPr="009D5E78">
              <w:rPr>
                <w:rFonts w:eastAsia="Times New Roman" w:cs="Calibri"/>
                <w:color w:val="000000"/>
                <w:kern w:val="0"/>
                <w14:ligatures w14:val="none"/>
              </w:rPr>
              <w:t>Laura Treat</w:t>
            </w:r>
          </w:p>
        </w:tc>
        <w:tc>
          <w:tcPr>
            <w:tcW w:w="7015" w:type="dxa"/>
            <w:vAlign w:val="bottom"/>
          </w:tcPr>
          <w:p w14:paraId="7ED8ADCF" w14:textId="56C0D2E1" w:rsidR="009D5E78" w:rsidRPr="009D5E78" w:rsidRDefault="009D5E78" w:rsidP="009D5E78">
            <w:r w:rsidRPr="009D5E78">
              <w:rPr>
                <w:rFonts w:eastAsia="Times New Roman" w:cs="Calibri"/>
                <w:color w:val="000000"/>
                <w:kern w:val="0"/>
                <w14:ligatures w14:val="none"/>
              </w:rPr>
              <w:t>Idaho Department of Health and Welfare Division of Behavioral Health</w:t>
            </w:r>
          </w:p>
        </w:tc>
      </w:tr>
      <w:tr w:rsidR="00DD252A" w:rsidRPr="00BC071B" w14:paraId="03497BBB" w14:textId="77777777" w:rsidTr="00B8417A">
        <w:tc>
          <w:tcPr>
            <w:tcW w:w="2335" w:type="dxa"/>
            <w:vAlign w:val="bottom"/>
          </w:tcPr>
          <w:p w14:paraId="249A13C9" w14:textId="57108646" w:rsidR="00DD252A" w:rsidRPr="009D5E78" w:rsidRDefault="00DD252A" w:rsidP="00DD252A">
            <w:r w:rsidRPr="009D5E78">
              <w:rPr>
                <w:rFonts w:eastAsia="Times New Roman" w:cs="Calibri"/>
                <w:color w:val="000000"/>
                <w:kern w:val="0"/>
                <w14:ligatures w14:val="none"/>
              </w:rPr>
              <w:t>Tim Thompson</w:t>
            </w:r>
          </w:p>
        </w:tc>
        <w:tc>
          <w:tcPr>
            <w:tcW w:w="7015" w:type="dxa"/>
            <w:vAlign w:val="bottom"/>
          </w:tcPr>
          <w:p w14:paraId="45F5D718" w14:textId="62117810" w:rsidR="00DD252A" w:rsidRPr="009D5E78" w:rsidRDefault="00DD252A" w:rsidP="00DD252A">
            <w:r w:rsidRPr="009D5E78">
              <w:rPr>
                <w:rFonts w:eastAsia="Times New Roman" w:cs="Calibri"/>
                <w:color w:val="000000"/>
                <w:kern w:val="0"/>
                <w14:ligatures w14:val="none"/>
              </w:rPr>
              <w:t>Idaho Department of Health and Welfare Division of Behavioral Health</w:t>
            </w:r>
          </w:p>
        </w:tc>
      </w:tr>
      <w:tr w:rsidR="00266A5A" w:rsidRPr="00BC071B" w14:paraId="2D1F3E24" w14:textId="77777777" w:rsidTr="00B8417A">
        <w:tc>
          <w:tcPr>
            <w:tcW w:w="2335" w:type="dxa"/>
            <w:vAlign w:val="bottom"/>
          </w:tcPr>
          <w:p w14:paraId="351C5767" w14:textId="71324772" w:rsidR="00266A5A" w:rsidRPr="009D5E78" w:rsidRDefault="00266A5A" w:rsidP="00266A5A">
            <w:r w:rsidRPr="009D5E78">
              <w:rPr>
                <w:rFonts w:eastAsia="Times New Roman" w:cs="Calibri"/>
                <w:color w:val="000000"/>
                <w:kern w:val="0"/>
                <w14:ligatures w14:val="none"/>
              </w:rPr>
              <w:t>Aaron Bazzoli</w:t>
            </w:r>
          </w:p>
        </w:tc>
        <w:tc>
          <w:tcPr>
            <w:tcW w:w="7015" w:type="dxa"/>
            <w:vAlign w:val="bottom"/>
          </w:tcPr>
          <w:p w14:paraId="1B51D32E" w14:textId="03737B13" w:rsidR="00266A5A" w:rsidRPr="009D5E78" w:rsidRDefault="00DD252A" w:rsidP="00266A5A">
            <w:r>
              <w:rPr>
                <w:rFonts w:eastAsia="Times New Roman" w:cs="Calibri"/>
                <w:color w:val="000000"/>
                <w:kern w:val="0"/>
                <w14:ligatures w14:val="none"/>
              </w:rPr>
              <w:t xml:space="preserve">Former </w:t>
            </w:r>
            <w:r w:rsidR="00266A5A" w:rsidRPr="009D5E78">
              <w:rPr>
                <w:rFonts w:eastAsia="Times New Roman" w:cs="Calibri"/>
                <w:color w:val="000000"/>
                <w:kern w:val="0"/>
                <w14:ligatures w14:val="none"/>
              </w:rPr>
              <w:t>Canyon County</w:t>
            </w:r>
            <w:r>
              <w:rPr>
                <w:rFonts w:eastAsia="Times New Roman" w:cs="Calibri"/>
                <w:color w:val="000000"/>
                <w:kern w:val="0"/>
                <w14:ligatures w14:val="none"/>
              </w:rPr>
              <w:t xml:space="preserve"> Public Defender</w:t>
            </w:r>
          </w:p>
        </w:tc>
      </w:tr>
      <w:tr w:rsidR="00266A5A" w:rsidRPr="00BC071B" w14:paraId="5004B1C5" w14:textId="77777777" w:rsidTr="00B8417A">
        <w:tc>
          <w:tcPr>
            <w:tcW w:w="2335" w:type="dxa"/>
            <w:vAlign w:val="bottom"/>
          </w:tcPr>
          <w:p w14:paraId="2A776DB9" w14:textId="607D0887" w:rsidR="00266A5A" w:rsidRPr="009D5E78" w:rsidRDefault="00266A5A" w:rsidP="00266A5A">
            <w:r w:rsidRPr="009D5E78">
              <w:rPr>
                <w:rFonts w:eastAsia="Times New Roman" w:cs="Calibri"/>
                <w:color w:val="000000"/>
                <w:kern w:val="0"/>
                <w14:ligatures w14:val="none"/>
              </w:rPr>
              <w:t xml:space="preserve">Dr. </w:t>
            </w:r>
            <w:proofErr w:type="spellStart"/>
            <w:r w:rsidRPr="009D5E78">
              <w:rPr>
                <w:rFonts w:eastAsia="Times New Roman" w:cs="Calibri"/>
                <w:color w:val="000000"/>
                <w:kern w:val="0"/>
                <w14:ligatures w14:val="none"/>
              </w:rPr>
              <w:t>Abhilask</w:t>
            </w:r>
            <w:proofErr w:type="spellEnd"/>
            <w:r w:rsidRPr="009D5E78">
              <w:rPr>
                <w:rFonts w:eastAsia="Times New Roman" w:cs="Calibri"/>
                <w:color w:val="000000"/>
                <w:kern w:val="0"/>
                <w14:ligatures w14:val="none"/>
              </w:rPr>
              <w:t xml:space="preserve"> Desai</w:t>
            </w:r>
          </w:p>
        </w:tc>
        <w:tc>
          <w:tcPr>
            <w:tcW w:w="7015" w:type="dxa"/>
            <w:vAlign w:val="bottom"/>
          </w:tcPr>
          <w:p w14:paraId="42B90BC1" w14:textId="4CB19347" w:rsidR="00266A5A" w:rsidRPr="009D5E78" w:rsidRDefault="00266A5A" w:rsidP="00266A5A">
            <w:r w:rsidRPr="009D5E78">
              <w:rPr>
                <w:rFonts w:eastAsia="Times New Roman" w:cs="Calibri"/>
                <w:color w:val="000000"/>
                <w:kern w:val="0"/>
                <w14:ligatures w14:val="none"/>
              </w:rPr>
              <w:t>St. Alphonsus</w:t>
            </w:r>
            <w:r w:rsidR="009C7C6A">
              <w:rPr>
                <w:rFonts w:eastAsia="Times New Roman" w:cs="Calibri"/>
                <w:color w:val="000000"/>
                <w:kern w:val="0"/>
                <w14:ligatures w14:val="none"/>
              </w:rPr>
              <w:t xml:space="preserve"> Health Alliance</w:t>
            </w:r>
          </w:p>
        </w:tc>
      </w:tr>
      <w:tr w:rsidR="00266A5A" w:rsidRPr="00BC071B" w14:paraId="18EF8076" w14:textId="77777777" w:rsidTr="00B8417A">
        <w:tc>
          <w:tcPr>
            <w:tcW w:w="2335" w:type="dxa"/>
            <w:vAlign w:val="bottom"/>
          </w:tcPr>
          <w:p w14:paraId="5F24B76B" w14:textId="6B6037B0" w:rsidR="00266A5A" w:rsidRPr="009D5E78" w:rsidRDefault="00266A5A" w:rsidP="00266A5A">
            <w:r w:rsidRPr="009D5E78">
              <w:rPr>
                <w:rFonts w:eastAsia="Times New Roman" w:cs="Calibri"/>
                <w:color w:val="000000"/>
                <w:kern w:val="0"/>
                <w14:ligatures w14:val="none"/>
              </w:rPr>
              <w:t>Beth Markley</w:t>
            </w:r>
          </w:p>
        </w:tc>
        <w:tc>
          <w:tcPr>
            <w:tcW w:w="7015" w:type="dxa"/>
            <w:vAlign w:val="bottom"/>
          </w:tcPr>
          <w:p w14:paraId="1E9D7072" w14:textId="1B2E8E41" w:rsidR="00266A5A" w:rsidRPr="009D5E78" w:rsidRDefault="00266A5A" w:rsidP="00266A5A">
            <w:r w:rsidRPr="009D5E78">
              <w:rPr>
                <w:rFonts w:eastAsia="Times New Roman" w:cs="Calibri"/>
                <w:color w:val="000000"/>
                <w:kern w:val="0"/>
                <w14:ligatures w14:val="none"/>
              </w:rPr>
              <w:t>NAMI Idaho</w:t>
            </w:r>
          </w:p>
        </w:tc>
      </w:tr>
      <w:tr w:rsidR="00266A5A" w:rsidRPr="00BC071B" w14:paraId="0A545C89" w14:textId="77777777" w:rsidTr="00B8417A">
        <w:tc>
          <w:tcPr>
            <w:tcW w:w="2335" w:type="dxa"/>
            <w:vAlign w:val="bottom"/>
          </w:tcPr>
          <w:p w14:paraId="371FE770" w14:textId="30E02496" w:rsidR="00266A5A" w:rsidRPr="009D5E78" w:rsidRDefault="00266A5A" w:rsidP="00266A5A">
            <w:r w:rsidRPr="009D5E78">
              <w:rPr>
                <w:rFonts w:eastAsia="Times New Roman" w:cs="Calibri"/>
                <w:color w:val="000000"/>
                <w:kern w:val="0"/>
                <w14:ligatures w14:val="none"/>
              </w:rPr>
              <w:t>Briana Allen</w:t>
            </w:r>
          </w:p>
        </w:tc>
        <w:tc>
          <w:tcPr>
            <w:tcW w:w="7015" w:type="dxa"/>
            <w:vAlign w:val="bottom"/>
          </w:tcPr>
          <w:p w14:paraId="5DFE92D8" w14:textId="3687B0C2" w:rsidR="00266A5A" w:rsidRPr="009D5E78" w:rsidRDefault="00266A5A" w:rsidP="00266A5A">
            <w:r w:rsidRPr="009D5E78">
              <w:rPr>
                <w:rFonts w:eastAsia="Times New Roman" w:cs="Calibri"/>
                <w:color w:val="000000"/>
                <w:kern w:val="0"/>
                <w14:ligatures w14:val="none"/>
              </w:rPr>
              <w:t>I</w:t>
            </w:r>
            <w:r w:rsidR="00714619">
              <w:rPr>
                <w:rFonts w:eastAsia="Times New Roman" w:cs="Calibri"/>
                <w:color w:val="000000"/>
                <w:kern w:val="0"/>
                <w14:ligatures w14:val="none"/>
              </w:rPr>
              <w:t>daho Department of Health and Welfare</w:t>
            </w:r>
          </w:p>
        </w:tc>
      </w:tr>
      <w:tr w:rsidR="00620019" w:rsidRPr="00BC071B" w14:paraId="3B12E61D" w14:textId="77777777" w:rsidTr="00B8417A">
        <w:tc>
          <w:tcPr>
            <w:tcW w:w="2335" w:type="dxa"/>
            <w:vAlign w:val="bottom"/>
          </w:tcPr>
          <w:p w14:paraId="616EB51B" w14:textId="6C16F520" w:rsidR="00620019" w:rsidRPr="009D5E78" w:rsidRDefault="00620019" w:rsidP="00620019">
            <w:r w:rsidRPr="009D5E78">
              <w:rPr>
                <w:rFonts w:eastAsia="Times New Roman" w:cs="Calibri"/>
                <w:color w:val="000000"/>
                <w:kern w:val="0"/>
                <w14:ligatures w14:val="none"/>
              </w:rPr>
              <w:t>Dani Pere</w:t>
            </w:r>
          </w:p>
        </w:tc>
        <w:tc>
          <w:tcPr>
            <w:tcW w:w="7015" w:type="dxa"/>
            <w:vAlign w:val="bottom"/>
          </w:tcPr>
          <w:p w14:paraId="6F26B5A1" w14:textId="606490DC" w:rsidR="00620019" w:rsidRPr="009D5E78" w:rsidRDefault="00620019" w:rsidP="00620019">
            <w:r w:rsidRPr="009D5E78">
              <w:rPr>
                <w:rFonts w:eastAsia="Times New Roman" w:cs="Calibri"/>
                <w:color w:val="000000"/>
                <w:kern w:val="0"/>
                <w14:ligatures w14:val="none"/>
              </w:rPr>
              <w:t>Idaho Department of Health and Welfare Division of Behavioral Health</w:t>
            </w:r>
          </w:p>
        </w:tc>
      </w:tr>
      <w:tr w:rsidR="00266A5A" w:rsidRPr="00BC071B" w14:paraId="2DE43BCE" w14:textId="77777777" w:rsidTr="00B8417A">
        <w:tc>
          <w:tcPr>
            <w:tcW w:w="2335" w:type="dxa"/>
            <w:vAlign w:val="bottom"/>
          </w:tcPr>
          <w:p w14:paraId="5F12AD7E" w14:textId="2F901F7E" w:rsidR="00266A5A" w:rsidRPr="009D5E78" w:rsidRDefault="00266A5A" w:rsidP="00266A5A">
            <w:r w:rsidRPr="009D5E78">
              <w:rPr>
                <w:rFonts w:eastAsia="Times New Roman" w:cs="Calibri"/>
                <w:color w:val="000000"/>
                <w:kern w:val="0"/>
                <w14:ligatures w14:val="none"/>
              </w:rPr>
              <w:t>Deena Layne</w:t>
            </w:r>
          </w:p>
        </w:tc>
        <w:tc>
          <w:tcPr>
            <w:tcW w:w="7015" w:type="dxa"/>
            <w:vAlign w:val="bottom"/>
          </w:tcPr>
          <w:p w14:paraId="6A969522" w14:textId="2E9B1819" w:rsidR="00266A5A" w:rsidRPr="009D5E78" w:rsidRDefault="00620019" w:rsidP="00266A5A">
            <w:r>
              <w:rPr>
                <w:rFonts w:eastAsia="Times New Roman" w:cs="Calibri"/>
                <w:color w:val="000000"/>
                <w:kern w:val="0"/>
                <w14:ligatures w14:val="none"/>
              </w:rPr>
              <w:t>Administrative Office of Courts</w:t>
            </w:r>
          </w:p>
        </w:tc>
      </w:tr>
      <w:tr w:rsidR="00266A5A" w:rsidRPr="00BC071B" w14:paraId="0394B176" w14:textId="77777777" w:rsidTr="00B8417A">
        <w:tc>
          <w:tcPr>
            <w:tcW w:w="2335" w:type="dxa"/>
            <w:vAlign w:val="bottom"/>
          </w:tcPr>
          <w:p w14:paraId="27D70A61" w14:textId="094DD7AC" w:rsidR="00266A5A" w:rsidRPr="009D5E78" w:rsidRDefault="00266A5A" w:rsidP="00266A5A">
            <w:r w:rsidRPr="009D5E78">
              <w:rPr>
                <w:rFonts w:eastAsia="Times New Roman" w:cs="Calibri"/>
                <w:color w:val="000000"/>
                <w:kern w:val="0"/>
                <w14:ligatures w14:val="none"/>
              </w:rPr>
              <w:t>Dr. Heather Casady</w:t>
            </w:r>
          </w:p>
        </w:tc>
        <w:tc>
          <w:tcPr>
            <w:tcW w:w="7015" w:type="dxa"/>
            <w:vAlign w:val="bottom"/>
          </w:tcPr>
          <w:p w14:paraId="7FB5FC15" w14:textId="10525B52" w:rsidR="00266A5A" w:rsidRPr="009D5E78" w:rsidRDefault="00266A5A" w:rsidP="00266A5A">
            <w:r w:rsidRPr="009D5E78">
              <w:rPr>
                <w:rFonts w:eastAsia="Times New Roman" w:cs="Calibri"/>
                <w:color w:val="000000"/>
                <w:kern w:val="0"/>
                <w14:ligatures w14:val="none"/>
              </w:rPr>
              <w:t>I</w:t>
            </w:r>
            <w:r w:rsidR="00620019">
              <w:rPr>
                <w:rFonts w:eastAsia="Times New Roman" w:cs="Calibri"/>
                <w:color w:val="000000"/>
                <w:kern w:val="0"/>
                <w14:ligatures w14:val="none"/>
              </w:rPr>
              <w:t>daho Department of Correction</w:t>
            </w:r>
          </w:p>
        </w:tc>
      </w:tr>
      <w:tr w:rsidR="00266A5A" w:rsidRPr="00BC071B" w14:paraId="6DA15FAD" w14:textId="77777777" w:rsidTr="00B8417A">
        <w:tc>
          <w:tcPr>
            <w:tcW w:w="2335" w:type="dxa"/>
            <w:vAlign w:val="bottom"/>
          </w:tcPr>
          <w:p w14:paraId="7A68AAD8" w14:textId="5B5F6588" w:rsidR="00266A5A" w:rsidRPr="009D5E78" w:rsidRDefault="00266A5A" w:rsidP="00266A5A">
            <w:r w:rsidRPr="009D5E78">
              <w:rPr>
                <w:rFonts w:eastAsia="Times New Roman" w:cs="Calibri"/>
                <w:color w:val="000000"/>
                <w:kern w:val="0"/>
                <w14:ligatures w14:val="none"/>
              </w:rPr>
              <w:t>Gina R. Westcott</w:t>
            </w:r>
          </w:p>
        </w:tc>
        <w:tc>
          <w:tcPr>
            <w:tcW w:w="7015" w:type="dxa"/>
            <w:vAlign w:val="bottom"/>
          </w:tcPr>
          <w:p w14:paraId="1C6F1C67" w14:textId="2E0C3BD9" w:rsidR="00266A5A" w:rsidRPr="009D5E78" w:rsidRDefault="00620019" w:rsidP="00266A5A">
            <w:r w:rsidRPr="009D5E78">
              <w:rPr>
                <w:rFonts w:eastAsia="Times New Roman" w:cs="Calibri"/>
                <w:color w:val="000000"/>
                <w:kern w:val="0"/>
                <w14:ligatures w14:val="none"/>
              </w:rPr>
              <w:t>Idaho Department of Health and Welfare Division of Behavioral Health</w:t>
            </w:r>
          </w:p>
        </w:tc>
      </w:tr>
      <w:tr w:rsidR="00266A5A" w:rsidRPr="00BC071B" w14:paraId="25819B3C" w14:textId="77777777" w:rsidTr="00B8417A">
        <w:tc>
          <w:tcPr>
            <w:tcW w:w="2335" w:type="dxa"/>
            <w:vAlign w:val="bottom"/>
          </w:tcPr>
          <w:p w14:paraId="62E05BE4" w14:textId="6D648768" w:rsidR="00266A5A" w:rsidRPr="009D5E78" w:rsidRDefault="00266A5A" w:rsidP="00266A5A">
            <w:r w:rsidRPr="009D5E78">
              <w:rPr>
                <w:rFonts w:eastAsia="Times New Roman" w:cs="Calibri"/>
                <w:color w:val="000000"/>
                <w:kern w:val="0"/>
                <w14:ligatures w14:val="none"/>
              </w:rPr>
              <w:t>Guadalupe Ayala</w:t>
            </w:r>
          </w:p>
        </w:tc>
        <w:tc>
          <w:tcPr>
            <w:tcW w:w="7015" w:type="dxa"/>
            <w:vAlign w:val="bottom"/>
          </w:tcPr>
          <w:p w14:paraId="54323755" w14:textId="5159887E" w:rsidR="00266A5A" w:rsidRPr="009D5E78" w:rsidRDefault="00435B27" w:rsidP="00266A5A">
            <w:r w:rsidRPr="009D5E78">
              <w:rPr>
                <w:rFonts w:eastAsia="Times New Roman" w:cs="Calibri"/>
                <w:color w:val="000000"/>
                <w:kern w:val="0"/>
                <w14:ligatures w14:val="none"/>
              </w:rPr>
              <w:t>I</w:t>
            </w:r>
            <w:r>
              <w:rPr>
                <w:rFonts w:eastAsia="Times New Roman" w:cs="Calibri"/>
                <w:color w:val="000000"/>
                <w:kern w:val="0"/>
                <w14:ligatures w14:val="none"/>
              </w:rPr>
              <w:t>daho Department of Health and Welfare</w:t>
            </w:r>
          </w:p>
        </w:tc>
      </w:tr>
      <w:tr w:rsidR="00266A5A" w14:paraId="327C549B" w14:textId="77777777" w:rsidTr="00B8417A">
        <w:tc>
          <w:tcPr>
            <w:tcW w:w="2335" w:type="dxa"/>
            <w:vAlign w:val="bottom"/>
          </w:tcPr>
          <w:p w14:paraId="06DCE39E" w14:textId="05ED0513" w:rsidR="00266A5A" w:rsidRPr="009D5E78" w:rsidRDefault="00266A5A" w:rsidP="00266A5A">
            <w:r w:rsidRPr="009D5E78">
              <w:rPr>
                <w:rFonts w:eastAsia="Times New Roman" w:cs="Calibri"/>
                <w:color w:val="000000"/>
                <w:kern w:val="0"/>
                <w14:ligatures w14:val="none"/>
              </w:rPr>
              <w:t xml:space="preserve">Judge Robert </w:t>
            </w:r>
            <w:proofErr w:type="spellStart"/>
            <w:r w:rsidRPr="009D5E78">
              <w:rPr>
                <w:rFonts w:eastAsia="Times New Roman" w:cs="Calibri"/>
                <w:color w:val="000000"/>
                <w:kern w:val="0"/>
                <w14:ligatures w14:val="none"/>
              </w:rPr>
              <w:t>Naftz</w:t>
            </w:r>
            <w:proofErr w:type="spellEnd"/>
          </w:p>
        </w:tc>
        <w:tc>
          <w:tcPr>
            <w:tcW w:w="7015" w:type="dxa"/>
            <w:vAlign w:val="bottom"/>
          </w:tcPr>
          <w:p w14:paraId="6314DD58" w14:textId="38441CDC" w:rsidR="00266A5A" w:rsidRPr="009D5E78" w:rsidRDefault="00266A5A" w:rsidP="00266A5A">
            <w:r w:rsidRPr="009D5E78">
              <w:rPr>
                <w:rFonts w:eastAsia="Times New Roman" w:cs="Calibri"/>
                <w:color w:val="000000"/>
                <w:kern w:val="0"/>
                <w14:ligatures w14:val="none"/>
              </w:rPr>
              <w:t>Bannock County</w:t>
            </w:r>
            <w:r w:rsidR="00864311">
              <w:rPr>
                <w:rFonts w:eastAsia="Times New Roman" w:cs="Calibri"/>
                <w:color w:val="000000"/>
                <w:kern w:val="0"/>
                <w14:ligatures w14:val="none"/>
              </w:rPr>
              <w:t xml:space="preserve"> District Ju</w:t>
            </w:r>
            <w:r w:rsidR="008754B6">
              <w:rPr>
                <w:rFonts w:eastAsia="Times New Roman" w:cs="Calibri"/>
                <w:color w:val="000000"/>
                <w:kern w:val="0"/>
                <w14:ligatures w14:val="none"/>
              </w:rPr>
              <w:t>d</w:t>
            </w:r>
            <w:r w:rsidR="00864311">
              <w:rPr>
                <w:rFonts w:eastAsia="Times New Roman" w:cs="Calibri"/>
                <w:color w:val="000000"/>
                <w:kern w:val="0"/>
                <w14:ligatures w14:val="none"/>
              </w:rPr>
              <w:t>ge</w:t>
            </w:r>
          </w:p>
        </w:tc>
      </w:tr>
      <w:tr w:rsidR="00266A5A" w14:paraId="19D65D3A" w14:textId="77777777" w:rsidTr="00B8417A">
        <w:tc>
          <w:tcPr>
            <w:tcW w:w="2335" w:type="dxa"/>
            <w:vAlign w:val="bottom"/>
          </w:tcPr>
          <w:p w14:paraId="06CBF503" w14:textId="1EE871AD" w:rsidR="00266A5A" w:rsidRPr="009D5E78" w:rsidRDefault="00266A5A" w:rsidP="00266A5A">
            <w:r w:rsidRPr="009D5E78">
              <w:rPr>
                <w:rFonts w:eastAsia="Times New Roman" w:cs="Calibri"/>
                <w:color w:val="000000"/>
                <w:kern w:val="0"/>
                <w14:ligatures w14:val="none"/>
              </w:rPr>
              <w:t>Judge Karin Seubert</w:t>
            </w:r>
          </w:p>
        </w:tc>
        <w:tc>
          <w:tcPr>
            <w:tcW w:w="7015" w:type="dxa"/>
            <w:vAlign w:val="bottom"/>
          </w:tcPr>
          <w:p w14:paraId="598336B3" w14:textId="683E1AFA" w:rsidR="00266A5A" w:rsidRPr="009D5E78" w:rsidRDefault="00266A5A" w:rsidP="00266A5A">
            <w:r w:rsidRPr="009D5E78">
              <w:rPr>
                <w:rFonts w:eastAsia="Times New Roman" w:cs="Calibri"/>
                <w:color w:val="000000"/>
                <w:kern w:val="0"/>
                <w14:ligatures w14:val="none"/>
              </w:rPr>
              <w:t>Nez Perce County</w:t>
            </w:r>
            <w:r w:rsidR="008754B6">
              <w:rPr>
                <w:rFonts w:eastAsia="Times New Roman" w:cs="Calibri"/>
                <w:color w:val="000000"/>
                <w:kern w:val="0"/>
                <w14:ligatures w14:val="none"/>
              </w:rPr>
              <w:t xml:space="preserve"> Magistrate Judge</w:t>
            </w:r>
          </w:p>
        </w:tc>
      </w:tr>
      <w:tr w:rsidR="008754B6" w14:paraId="01D98C66" w14:textId="77777777" w:rsidTr="00B8417A">
        <w:tc>
          <w:tcPr>
            <w:tcW w:w="2335" w:type="dxa"/>
            <w:vAlign w:val="bottom"/>
          </w:tcPr>
          <w:p w14:paraId="61B371E6" w14:textId="67A8E2F4" w:rsidR="008754B6" w:rsidRPr="009D5E78" w:rsidRDefault="008754B6" w:rsidP="008754B6">
            <w:r w:rsidRPr="009D5E78">
              <w:rPr>
                <w:rFonts w:eastAsia="Times New Roman" w:cs="Calibri"/>
                <w:color w:val="000000"/>
                <w:kern w:val="0"/>
                <w14:ligatures w14:val="none"/>
              </w:rPr>
              <w:t>Kasey Abercrombie</w:t>
            </w:r>
          </w:p>
        </w:tc>
        <w:tc>
          <w:tcPr>
            <w:tcW w:w="7015" w:type="dxa"/>
            <w:vAlign w:val="bottom"/>
          </w:tcPr>
          <w:p w14:paraId="3C25667D" w14:textId="078CD4A2" w:rsidR="008754B6" w:rsidRPr="009D5E78" w:rsidRDefault="008754B6" w:rsidP="008754B6">
            <w:r w:rsidRPr="009D5E78">
              <w:rPr>
                <w:rFonts w:eastAsia="Times New Roman" w:cs="Calibri"/>
                <w:color w:val="000000"/>
                <w:kern w:val="0"/>
                <w14:ligatures w14:val="none"/>
              </w:rPr>
              <w:t>I</w:t>
            </w:r>
            <w:r>
              <w:rPr>
                <w:rFonts w:eastAsia="Times New Roman" w:cs="Calibri"/>
                <w:color w:val="000000"/>
                <w:kern w:val="0"/>
                <w14:ligatures w14:val="none"/>
              </w:rPr>
              <w:t>daho Department of Health and Welfare</w:t>
            </w:r>
          </w:p>
        </w:tc>
      </w:tr>
      <w:tr w:rsidR="008754B6" w14:paraId="30ADB0A3" w14:textId="77777777" w:rsidTr="00B8417A">
        <w:tc>
          <w:tcPr>
            <w:tcW w:w="2335" w:type="dxa"/>
            <w:vAlign w:val="bottom"/>
          </w:tcPr>
          <w:p w14:paraId="15DA0BE0" w14:textId="059ACDD2" w:rsidR="008754B6" w:rsidRPr="009D5E78" w:rsidRDefault="008754B6" w:rsidP="008754B6">
            <w:r w:rsidRPr="009D5E78">
              <w:rPr>
                <w:rFonts w:eastAsia="Times New Roman" w:cs="Calibri"/>
                <w:color w:val="000000"/>
                <w:kern w:val="0"/>
                <w14:ligatures w14:val="none"/>
              </w:rPr>
              <w:t>Krista Edge</w:t>
            </w:r>
          </w:p>
        </w:tc>
        <w:tc>
          <w:tcPr>
            <w:tcW w:w="7015" w:type="dxa"/>
            <w:vAlign w:val="bottom"/>
          </w:tcPr>
          <w:p w14:paraId="690645B9" w14:textId="61E07E83" w:rsidR="008754B6" w:rsidRPr="009D5E78" w:rsidRDefault="008754B6" w:rsidP="008754B6">
            <w:r w:rsidRPr="009D5E78">
              <w:rPr>
                <w:rFonts w:eastAsia="Times New Roman" w:cs="Calibri"/>
                <w:color w:val="000000"/>
                <w:kern w:val="0"/>
                <w14:ligatures w14:val="none"/>
              </w:rPr>
              <w:t>I</w:t>
            </w:r>
            <w:r>
              <w:rPr>
                <w:rFonts w:eastAsia="Times New Roman" w:cs="Calibri"/>
                <w:color w:val="000000"/>
                <w:kern w:val="0"/>
                <w14:ligatures w14:val="none"/>
              </w:rPr>
              <w:t>daho Department of Health and Welfare</w:t>
            </w:r>
          </w:p>
        </w:tc>
      </w:tr>
      <w:tr w:rsidR="008754B6" w14:paraId="29109DF2" w14:textId="77777777" w:rsidTr="00B8417A">
        <w:tc>
          <w:tcPr>
            <w:tcW w:w="2335" w:type="dxa"/>
            <w:vAlign w:val="bottom"/>
          </w:tcPr>
          <w:p w14:paraId="782D2117" w14:textId="2B59466E" w:rsidR="008754B6" w:rsidRPr="009D5E78" w:rsidRDefault="008754B6" w:rsidP="008754B6">
            <w:r w:rsidRPr="009D5E78">
              <w:rPr>
                <w:rFonts w:eastAsia="Times New Roman" w:cs="Calibri"/>
                <w:color w:val="000000"/>
                <w:kern w:val="0"/>
                <w14:ligatures w14:val="none"/>
              </w:rPr>
              <w:t>Kristin Green</w:t>
            </w:r>
          </w:p>
        </w:tc>
        <w:tc>
          <w:tcPr>
            <w:tcW w:w="7015" w:type="dxa"/>
            <w:vAlign w:val="bottom"/>
          </w:tcPr>
          <w:p w14:paraId="765B5674" w14:textId="60B3B585" w:rsidR="008754B6" w:rsidRPr="009D5E78" w:rsidRDefault="008754B6" w:rsidP="008754B6">
            <w:r w:rsidRPr="009D5E78">
              <w:rPr>
                <w:rFonts w:eastAsia="Times New Roman" w:cs="Calibri"/>
                <w:color w:val="000000"/>
                <w:kern w:val="0"/>
                <w14:ligatures w14:val="none"/>
              </w:rPr>
              <w:t>I</w:t>
            </w:r>
            <w:r>
              <w:rPr>
                <w:rFonts w:eastAsia="Times New Roman" w:cs="Calibri"/>
                <w:color w:val="000000"/>
                <w:kern w:val="0"/>
                <w14:ligatures w14:val="none"/>
              </w:rPr>
              <w:t>daho Department of Health and Welfare</w:t>
            </w:r>
          </w:p>
        </w:tc>
      </w:tr>
      <w:tr w:rsidR="00266A5A" w14:paraId="002BD6BE" w14:textId="77777777" w:rsidTr="00B8417A">
        <w:tc>
          <w:tcPr>
            <w:tcW w:w="2335" w:type="dxa"/>
            <w:vAlign w:val="bottom"/>
          </w:tcPr>
          <w:p w14:paraId="29AEB0E6" w14:textId="770FD0FE" w:rsidR="00266A5A" w:rsidRPr="009D5E78" w:rsidRDefault="00266A5A" w:rsidP="00266A5A">
            <w:r w:rsidRPr="009D5E78">
              <w:rPr>
                <w:rFonts w:eastAsia="Times New Roman" w:cs="Calibri"/>
                <w:color w:val="000000"/>
                <w:kern w:val="0"/>
                <w14:ligatures w14:val="none"/>
              </w:rPr>
              <w:t>Judge Lamont Berecz</w:t>
            </w:r>
          </w:p>
        </w:tc>
        <w:tc>
          <w:tcPr>
            <w:tcW w:w="7015" w:type="dxa"/>
            <w:vAlign w:val="bottom"/>
          </w:tcPr>
          <w:p w14:paraId="2DC52BBE" w14:textId="46EA7523" w:rsidR="00266A5A" w:rsidRPr="009D5E78" w:rsidRDefault="00266A5A" w:rsidP="00266A5A">
            <w:r w:rsidRPr="009D5E78">
              <w:rPr>
                <w:rFonts w:eastAsia="Times New Roman" w:cs="Calibri"/>
                <w:color w:val="000000"/>
                <w:kern w:val="0"/>
                <w14:ligatures w14:val="none"/>
              </w:rPr>
              <w:t>Bonner County</w:t>
            </w:r>
            <w:r w:rsidR="002C6453">
              <w:rPr>
                <w:rFonts w:eastAsia="Times New Roman" w:cs="Calibri"/>
                <w:color w:val="000000"/>
                <w:kern w:val="0"/>
                <w14:ligatures w14:val="none"/>
              </w:rPr>
              <w:t xml:space="preserve"> District Judge</w:t>
            </w:r>
          </w:p>
        </w:tc>
      </w:tr>
      <w:tr w:rsidR="00266A5A" w14:paraId="2113F97B" w14:textId="77777777" w:rsidTr="00B8417A">
        <w:tc>
          <w:tcPr>
            <w:tcW w:w="2335" w:type="dxa"/>
            <w:vAlign w:val="bottom"/>
          </w:tcPr>
          <w:p w14:paraId="373B41E7" w14:textId="677F4BA7" w:rsidR="00266A5A" w:rsidRPr="009D5E78" w:rsidRDefault="00266A5A" w:rsidP="00266A5A">
            <w:r w:rsidRPr="009D5E78">
              <w:rPr>
                <w:rFonts w:eastAsia="Times New Roman" w:cs="Calibri"/>
                <w:color w:val="000000"/>
                <w:kern w:val="0"/>
                <w14:ligatures w14:val="none"/>
              </w:rPr>
              <w:t>Randy Rodriquez</w:t>
            </w:r>
          </w:p>
        </w:tc>
        <w:tc>
          <w:tcPr>
            <w:tcW w:w="7015" w:type="dxa"/>
            <w:vAlign w:val="bottom"/>
          </w:tcPr>
          <w:p w14:paraId="775C0AB7" w14:textId="239A86DB" w:rsidR="00266A5A" w:rsidRPr="009D5E78" w:rsidRDefault="002C6453" w:rsidP="00266A5A">
            <w:r w:rsidRPr="009D5E78">
              <w:rPr>
                <w:rFonts w:eastAsia="Times New Roman" w:cs="Calibri"/>
                <w:color w:val="000000"/>
                <w:kern w:val="0"/>
                <w14:ligatures w14:val="none"/>
              </w:rPr>
              <w:t xml:space="preserve">Idaho Department of Health and Welfare </w:t>
            </w:r>
            <w:r>
              <w:rPr>
                <w:rFonts w:eastAsia="Times New Roman" w:cs="Calibri"/>
                <w:color w:val="000000"/>
                <w:kern w:val="0"/>
                <w14:ligatures w14:val="none"/>
              </w:rPr>
              <w:t>State Hospital South</w:t>
            </w:r>
          </w:p>
        </w:tc>
      </w:tr>
      <w:tr w:rsidR="00266A5A" w14:paraId="6B210D56" w14:textId="77777777" w:rsidTr="00B8417A">
        <w:tc>
          <w:tcPr>
            <w:tcW w:w="2335" w:type="dxa"/>
            <w:vAlign w:val="bottom"/>
          </w:tcPr>
          <w:p w14:paraId="416A6411" w14:textId="4DEE7C4C" w:rsidR="00266A5A" w:rsidRPr="009D5E78" w:rsidRDefault="00266A5A" w:rsidP="00266A5A">
            <w:pPr>
              <w:rPr>
                <w:rFonts w:cs="Tahoma"/>
              </w:rPr>
            </w:pPr>
            <w:r w:rsidRPr="009D5E78">
              <w:rPr>
                <w:rFonts w:eastAsia="Times New Roman" w:cs="Calibri"/>
                <w:color w:val="000000"/>
                <w:kern w:val="0"/>
                <w14:ligatures w14:val="none"/>
              </w:rPr>
              <w:t>Teresa Shackelford</w:t>
            </w:r>
          </w:p>
        </w:tc>
        <w:tc>
          <w:tcPr>
            <w:tcW w:w="7015" w:type="dxa"/>
            <w:vAlign w:val="bottom"/>
          </w:tcPr>
          <w:p w14:paraId="7D8825DA" w14:textId="6C41FEC7" w:rsidR="00266A5A" w:rsidRPr="009D5E78" w:rsidRDefault="00AC3D0D" w:rsidP="00266A5A">
            <w:pPr>
              <w:rPr>
                <w:rFonts w:cs="Tahoma"/>
              </w:rPr>
            </w:pPr>
            <w:r w:rsidRPr="009D5E78">
              <w:rPr>
                <w:rFonts w:eastAsia="Times New Roman" w:cs="Calibri"/>
                <w:color w:val="000000"/>
                <w:kern w:val="0"/>
                <w14:ligatures w14:val="none"/>
              </w:rPr>
              <w:t xml:space="preserve">Idaho Department of Health and Welfare </w:t>
            </w:r>
            <w:r>
              <w:rPr>
                <w:rFonts w:eastAsia="Times New Roman" w:cs="Calibri"/>
                <w:color w:val="000000"/>
                <w:kern w:val="0"/>
                <w14:ligatures w14:val="none"/>
              </w:rPr>
              <w:t>State Hospital North</w:t>
            </w:r>
          </w:p>
        </w:tc>
      </w:tr>
      <w:tr w:rsidR="00266A5A" w14:paraId="38D746FC" w14:textId="77777777" w:rsidTr="00B8417A">
        <w:tc>
          <w:tcPr>
            <w:tcW w:w="2335" w:type="dxa"/>
            <w:vAlign w:val="bottom"/>
          </w:tcPr>
          <w:p w14:paraId="0924B668" w14:textId="52806A0B" w:rsidR="00266A5A" w:rsidRPr="009D5E78" w:rsidRDefault="00266A5A" w:rsidP="00266A5A">
            <w:pPr>
              <w:rPr>
                <w:rFonts w:cs="Tahoma"/>
              </w:rPr>
            </w:pPr>
            <w:r w:rsidRPr="009D5E78">
              <w:rPr>
                <w:rFonts w:eastAsia="Times New Roman" w:cs="Calibri"/>
                <w:color w:val="000000"/>
                <w:kern w:val="0"/>
                <w14:ligatures w14:val="none"/>
              </w:rPr>
              <w:t>Todd Hurt</w:t>
            </w:r>
          </w:p>
        </w:tc>
        <w:tc>
          <w:tcPr>
            <w:tcW w:w="7015" w:type="dxa"/>
            <w:vAlign w:val="bottom"/>
          </w:tcPr>
          <w:p w14:paraId="60766395" w14:textId="2E30F1EB" w:rsidR="00266A5A" w:rsidRPr="009D5E78" w:rsidRDefault="00266A5A" w:rsidP="00266A5A">
            <w:pPr>
              <w:rPr>
                <w:rFonts w:cs="Tahoma"/>
              </w:rPr>
            </w:pPr>
            <w:r w:rsidRPr="009D5E78">
              <w:rPr>
                <w:rFonts w:eastAsia="Times New Roman" w:cs="Calibri"/>
                <w:color w:val="000000"/>
                <w:kern w:val="0"/>
                <w14:ligatures w14:val="none"/>
              </w:rPr>
              <w:t xml:space="preserve">Intermountain </w:t>
            </w:r>
            <w:r w:rsidR="00AC3D0D">
              <w:rPr>
                <w:rFonts w:eastAsia="Times New Roman" w:cs="Calibri"/>
                <w:color w:val="000000"/>
                <w:kern w:val="0"/>
                <w14:ligatures w14:val="none"/>
              </w:rPr>
              <w:t>Hospital</w:t>
            </w:r>
          </w:p>
        </w:tc>
      </w:tr>
      <w:tr w:rsidR="007F2AC4" w14:paraId="7DA1C2C0" w14:textId="77777777" w:rsidTr="00003713">
        <w:tc>
          <w:tcPr>
            <w:tcW w:w="9350" w:type="dxa"/>
            <w:gridSpan w:val="2"/>
            <w:shd w:val="clear" w:color="auto" w:fill="B3E5A1" w:themeFill="accent6" w:themeFillTint="66"/>
          </w:tcPr>
          <w:p w14:paraId="6E0980DE" w14:textId="7B133988" w:rsidR="007F2AC4" w:rsidRPr="00003713" w:rsidRDefault="00003713" w:rsidP="00003713">
            <w:pPr>
              <w:jc w:val="center"/>
            </w:pPr>
            <w:r w:rsidRPr="00003713">
              <w:rPr>
                <w:b/>
                <w:bCs/>
                <w:sz w:val="28"/>
                <w:szCs w:val="28"/>
              </w:rPr>
              <w:t>ADMINISTRATION</w:t>
            </w:r>
          </w:p>
        </w:tc>
      </w:tr>
      <w:tr w:rsidR="00BC00E1" w14:paraId="35BEE7F1" w14:textId="77777777" w:rsidTr="007F2AC4">
        <w:tc>
          <w:tcPr>
            <w:tcW w:w="2335" w:type="dxa"/>
            <w:shd w:val="clear" w:color="auto" w:fill="B3E5A1" w:themeFill="accent6" w:themeFillTint="66"/>
          </w:tcPr>
          <w:p w14:paraId="41B93490" w14:textId="77777777" w:rsidR="00BC00E1" w:rsidRPr="007F2AC4" w:rsidRDefault="007F2AC4" w:rsidP="00FD46B8">
            <w:pPr>
              <w:rPr>
                <w:b/>
                <w:bCs/>
              </w:rPr>
            </w:pPr>
            <w:r w:rsidRPr="007F2AC4">
              <w:rPr>
                <w:b/>
                <w:bCs/>
              </w:rPr>
              <w:t>Meeting Cadence</w:t>
            </w:r>
          </w:p>
        </w:tc>
        <w:tc>
          <w:tcPr>
            <w:tcW w:w="7015" w:type="dxa"/>
          </w:tcPr>
          <w:p w14:paraId="7006E509" w14:textId="77777777" w:rsidR="007673C9" w:rsidRPr="00A10C11" w:rsidRDefault="007673C9" w:rsidP="007673C9">
            <w:pPr>
              <w:numPr>
                <w:ilvl w:val="0"/>
                <w:numId w:val="6"/>
              </w:numPr>
              <w:rPr>
                <w:rFonts w:cs="Calibri"/>
              </w:rPr>
            </w:pPr>
            <w:r w:rsidRPr="00A10C11">
              <w:rPr>
                <w:rFonts w:cs="Calibri"/>
              </w:rPr>
              <w:t>Frequency: Every other month</w:t>
            </w:r>
          </w:p>
          <w:p w14:paraId="538D859A" w14:textId="77777777" w:rsidR="007673C9" w:rsidRPr="00A10C11" w:rsidRDefault="007673C9" w:rsidP="007673C9">
            <w:pPr>
              <w:numPr>
                <w:ilvl w:val="0"/>
                <w:numId w:val="6"/>
              </w:numPr>
              <w:rPr>
                <w:rFonts w:cs="Calibri"/>
              </w:rPr>
            </w:pPr>
            <w:r w:rsidRPr="00A10C11">
              <w:rPr>
                <w:rFonts w:cs="Calibri"/>
              </w:rPr>
              <w:t>Duration: 1.0 hours</w:t>
            </w:r>
          </w:p>
          <w:p w14:paraId="774B3E2F" w14:textId="77777777" w:rsidR="007673C9" w:rsidRPr="00A10C11" w:rsidRDefault="007673C9" w:rsidP="007673C9">
            <w:pPr>
              <w:numPr>
                <w:ilvl w:val="0"/>
                <w:numId w:val="6"/>
              </w:numPr>
              <w:rPr>
                <w:rFonts w:cs="Calibri"/>
              </w:rPr>
            </w:pPr>
            <w:r w:rsidRPr="00A10C11">
              <w:rPr>
                <w:rFonts w:cs="Calibri"/>
              </w:rPr>
              <w:t>Format: Virtual (with in-person meetings as needed)</w:t>
            </w:r>
          </w:p>
          <w:p w14:paraId="1C9D77BA" w14:textId="77777777" w:rsidR="007673C9" w:rsidRPr="00A10C11" w:rsidRDefault="007673C9" w:rsidP="007673C9">
            <w:pPr>
              <w:numPr>
                <w:ilvl w:val="0"/>
                <w:numId w:val="6"/>
              </w:numPr>
              <w:rPr>
                <w:rFonts w:cs="Calibri"/>
              </w:rPr>
            </w:pPr>
            <w:r w:rsidRPr="00A10C11">
              <w:rPr>
                <w:rFonts w:cs="Calibri"/>
              </w:rPr>
              <w:t>Facilitator:  Initiative Owner or Designated Team Member</w:t>
            </w:r>
          </w:p>
          <w:p w14:paraId="6006EEB7" w14:textId="77777777" w:rsidR="007673C9" w:rsidRPr="00A10C11" w:rsidRDefault="007673C9" w:rsidP="007673C9">
            <w:pPr>
              <w:numPr>
                <w:ilvl w:val="0"/>
                <w:numId w:val="6"/>
              </w:numPr>
              <w:contextualSpacing/>
              <w:rPr>
                <w:rFonts w:cs="Calibri"/>
              </w:rPr>
            </w:pPr>
            <w:r w:rsidRPr="00A10C11">
              <w:rPr>
                <w:rFonts w:cs="Calibri"/>
              </w:rPr>
              <w:t>Participants:</w:t>
            </w:r>
            <w:r w:rsidRPr="00A10C11">
              <w:rPr>
                <w:rFonts w:cs="Calibri"/>
              </w:rPr>
              <w:br/>
              <w:t xml:space="preserve"> Team Members</w:t>
            </w:r>
            <w:r w:rsidRPr="00A10C11">
              <w:rPr>
                <w:rFonts w:cs="Calibri"/>
              </w:rPr>
              <w:br/>
              <w:t xml:space="preserve"> Key Stakeholders (as needed)</w:t>
            </w:r>
            <w:r w:rsidRPr="00A10C11">
              <w:rPr>
                <w:rFonts w:cs="Calibri"/>
              </w:rPr>
              <w:br/>
              <w:t xml:space="preserve"> Representatives from State Agencies </w:t>
            </w:r>
          </w:p>
          <w:p w14:paraId="7922590B" w14:textId="65E5B5E6" w:rsidR="00BC00E1" w:rsidRPr="004165D1" w:rsidRDefault="007673C9" w:rsidP="00FD46B8">
            <w:pPr>
              <w:numPr>
                <w:ilvl w:val="0"/>
                <w:numId w:val="6"/>
              </w:numPr>
              <w:contextualSpacing/>
              <w:rPr>
                <w:rFonts w:ascii="Calibri" w:hAnsi="Calibri" w:cs="Calibri"/>
              </w:rPr>
            </w:pPr>
            <w:r w:rsidRPr="00A10C11">
              <w:rPr>
                <w:rFonts w:cs="Calibri"/>
              </w:rPr>
              <w:t>Sub-Team Members</w:t>
            </w:r>
          </w:p>
        </w:tc>
      </w:tr>
      <w:tr w:rsidR="00BC00E1" w14:paraId="13214B6B" w14:textId="77777777" w:rsidTr="007F2AC4">
        <w:tc>
          <w:tcPr>
            <w:tcW w:w="2335" w:type="dxa"/>
            <w:shd w:val="clear" w:color="auto" w:fill="B3E5A1" w:themeFill="accent6" w:themeFillTint="66"/>
          </w:tcPr>
          <w:p w14:paraId="77D4E695" w14:textId="52E45ECB" w:rsidR="007F2AC4" w:rsidRPr="007F2AC4" w:rsidRDefault="001D5D01" w:rsidP="00FD46B8">
            <w:pPr>
              <w:rPr>
                <w:b/>
                <w:bCs/>
              </w:rPr>
            </w:pPr>
            <w:r w:rsidRPr="007F2AC4">
              <w:rPr>
                <w:b/>
                <w:bCs/>
              </w:rPr>
              <w:t>Communication</w:t>
            </w:r>
            <w:r w:rsidR="00E94AE7">
              <w:rPr>
                <w:b/>
                <w:bCs/>
              </w:rPr>
              <w:t xml:space="preserve"> </w:t>
            </w:r>
          </w:p>
        </w:tc>
        <w:tc>
          <w:tcPr>
            <w:tcW w:w="7015" w:type="dxa"/>
          </w:tcPr>
          <w:p w14:paraId="71DC16B1" w14:textId="77777777" w:rsidR="00CD080E" w:rsidRPr="00A10C11" w:rsidRDefault="00CD080E" w:rsidP="00CD080E">
            <w:pPr>
              <w:rPr>
                <w:rFonts w:cs="Calibri"/>
              </w:rPr>
            </w:pPr>
            <w:r w:rsidRPr="00A10C11">
              <w:rPr>
                <w:rFonts w:cs="Calibri"/>
              </w:rPr>
              <w:t>To ensure alignment, transparency, and accountability, communication regarding sub-team updates, progress on action items, and goal achievement will occur during the monthly Implementation Team meetings.</w:t>
            </w:r>
          </w:p>
          <w:p w14:paraId="235F803C" w14:textId="77777777" w:rsidR="00CD080E" w:rsidRPr="00A10C11" w:rsidRDefault="00CD080E" w:rsidP="00CD080E">
            <w:pPr>
              <w:rPr>
                <w:rFonts w:cs="Calibri"/>
                <w:b/>
                <w:bCs/>
              </w:rPr>
            </w:pPr>
            <w:r w:rsidRPr="00A10C11">
              <w:rPr>
                <w:rFonts w:cs="Calibri"/>
                <w:b/>
                <w:bCs/>
              </w:rPr>
              <w:t>Monthly Meeting Communication Plan:</w:t>
            </w:r>
          </w:p>
          <w:p w14:paraId="21C7420F" w14:textId="77777777" w:rsidR="00CD080E" w:rsidRPr="00A10C11" w:rsidRDefault="00CD080E" w:rsidP="00CD080E">
            <w:pPr>
              <w:numPr>
                <w:ilvl w:val="0"/>
                <w:numId w:val="7"/>
              </w:numPr>
              <w:rPr>
                <w:rFonts w:cs="Calibri"/>
              </w:rPr>
            </w:pPr>
            <w:r w:rsidRPr="00A10C11">
              <w:rPr>
                <w:rFonts w:cs="Calibri"/>
              </w:rPr>
              <w:t>Sub-Team Updates: Each sub-team will provide a bi-monthly summary of their progress, key milestones, challenges, and any support needed.</w:t>
            </w:r>
          </w:p>
          <w:p w14:paraId="743DFF21" w14:textId="77777777" w:rsidR="00CD080E" w:rsidRPr="00A10C11" w:rsidRDefault="00CD080E" w:rsidP="00CD080E">
            <w:pPr>
              <w:numPr>
                <w:ilvl w:val="0"/>
                <w:numId w:val="7"/>
              </w:numPr>
              <w:rPr>
                <w:rFonts w:cs="Calibri"/>
              </w:rPr>
            </w:pPr>
            <w:r w:rsidRPr="00A10C11">
              <w:rPr>
                <w:rFonts w:cs="Calibri"/>
              </w:rPr>
              <w:t>Action Item Review: Progress on assigned action items from previous meetings will be reported, with adjustments made as necessary.</w:t>
            </w:r>
          </w:p>
          <w:p w14:paraId="09719259" w14:textId="77777777" w:rsidR="00CD080E" w:rsidRPr="00A10C11" w:rsidRDefault="00CD080E" w:rsidP="00CD080E">
            <w:pPr>
              <w:numPr>
                <w:ilvl w:val="0"/>
                <w:numId w:val="7"/>
              </w:numPr>
              <w:rPr>
                <w:rFonts w:cs="Calibri"/>
              </w:rPr>
            </w:pPr>
            <w:r w:rsidRPr="00A10C11">
              <w:rPr>
                <w:rFonts w:cs="Calibri"/>
              </w:rPr>
              <w:lastRenderedPageBreak/>
              <w:t>Issue Resolution &amp; Strategic Adjustments: Any barriers or delays in implementation will be discussed, with solutions proposed to keep the project on track.</w:t>
            </w:r>
          </w:p>
          <w:p w14:paraId="65080F76" w14:textId="77777777" w:rsidR="00CD080E" w:rsidRPr="00A10C11" w:rsidRDefault="00CD080E" w:rsidP="00CD080E">
            <w:pPr>
              <w:numPr>
                <w:ilvl w:val="0"/>
                <w:numId w:val="7"/>
              </w:numPr>
              <w:rPr>
                <w:rFonts w:cs="Calibri"/>
              </w:rPr>
            </w:pPr>
            <w:r w:rsidRPr="00A10C11">
              <w:rPr>
                <w:rFonts w:cs="Calibri"/>
              </w:rPr>
              <w:t>Stakeholder Feedback: Input from members and external stakeholders will be incorporated to refine strategies and enhance collaboration.</w:t>
            </w:r>
          </w:p>
          <w:p w14:paraId="3D9EE0C2" w14:textId="73A1D1FF" w:rsidR="00BC00E1" w:rsidRPr="00A10C11" w:rsidRDefault="00CD080E" w:rsidP="004165D1">
            <w:pPr>
              <w:rPr>
                <w:rFonts w:cs="Calibri"/>
                <w:b/>
                <w:bCs/>
              </w:rPr>
            </w:pPr>
            <w:r w:rsidRPr="00A10C11">
              <w:rPr>
                <w:rFonts w:cs="Calibri"/>
              </w:rPr>
              <w:t>Meeting documentation, including sub-team reports and decisions made, will be distributed after each meeting to ensure all members stay informed and accountable.</w:t>
            </w:r>
          </w:p>
        </w:tc>
      </w:tr>
      <w:tr w:rsidR="00BC00E1" w14:paraId="44A23ED3" w14:textId="77777777" w:rsidTr="007F2AC4">
        <w:tc>
          <w:tcPr>
            <w:tcW w:w="2335" w:type="dxa"/>
            <w:shd w:val="clear" w:color="auto" w:fill="B3E5A1" w:themeFill="accent6" w:themeFillTint="66"/>
          </w:tcPr>
          <w:p w14:paraId="7F5712A5" w14:textId="5E5CBCAE" w:rsidR="00BC00E1" w:rsidRPr="007F2AC4" w:rsidRDefault="00E94AE7" w:rsidP="00FD46B8">
            <w:pPr>
              <w:rPr>
                <w:b/>
                <w:bCs/>
              </w:rPr>
            </w:pPr>
            <w:r w:rsidRPr="007F2AC4">
              <w:rPr>
                <w:b/>
                <w:bCs/>
              </w:rPr>
              <w:lastRenderedPageBreak/>
              <w:t>Amendment Process</w:t>
            </w:r>
          </w:p>
        </w:tc>
        <w:tc>
          <w:tcPr>
            <w:tcW w:w="7015" w:type="dxa"/>
          </w:tcPr>
          <w:p w14:paraId="697E2097" w14:textId="77777777" w:rsidR="00350D3F" w:rsidRPr="00A10C11" w:rsidRDefault="00350D3F" w:rsidP="00350D3F">
            <w:pPr>
              <w:rPr>
                <w:rFonts w:cs="Calibri"/>
                <w:b/>
                <w:bCs/>
              </w:rPr>
            </w:pPr>
            <w:r w:rsidRPr="00A10C11">
              <w:rPr>
                <w:rFonts w:cs="Calibri"/>
                <w:b/>
                <w:bCs/>
              </w:rPr>
              <w:t>Charter Amendment Process for the Competency Restoration Implementation Team</w:t>
            </w:r>
          </w:p>
          <w:p w14:paraId="26B53632" w14:textId="77777777" w:rsidR="00350D3F" w:rsidRPr="00A10C11" w:rsidRDefault="00350D3F" w:rsidP="00350D3F">
            <w:pPr>
              <w:rPr>
                <w:rFonts w:cs="Calibri"/>
              </w:rPr>
            </w:pPr>
            <w:r w:rsidRPr="00A10C11">
              <w:rPr>
                <w:rFonts w:cs="Calibri"/>
              </w:rPr>
              <w:t>To ensure that the Competency Restoration Implementation Team Project Charter remains relevant and effective, an amendment process will be established. Amendments to the charter may be necessary due to changes in funding, policy direction, project scope, or operational needs.</w:t>
            </w:r>
          </w:p>
          <w:p w14:paraId="4A734EC9" w14:textId="068300F0" w:rsidR="00BC00E1" w:rsidRPr="004165D1" w:rsidRDefault="00350D3F" w:rsidP="00FD46B8">
            <w:pPr>
              <w:rPr>
                <w:rFonts w:ascii="Calibri" w:hAnsi="Calibri" w:cs="Calibri"/>
                <w:b/>
                <w:bCs/>
              </w:rPr>
            </w:pPr>
            <w:r w:rsidRPr="00A10C11">
              <w:rPr>
                <w:rFonts w:cs="Calibri"/>
              </w:rPr>
              <w:t xml:space="preserve">Amendments to the charter may be proposed by any team member, stakeholder, or leadership representative. Proposals must be submitted in writing, detailing the proposed change, rationale, and potential impact. The leadership team will review the proposal, with a minimum </w:t>
            </w:r>
            <w:r w:rsidRPr="00A10C11">
              <w:rPr>
                <w:rFonts w:cs="Calibri"/>
                <w:b/>
                <w:bCs/>
              </w:rPr>
              <w:t>10-business-day discussion period</w:t>
            </w:r>
            <w:r w:rsidRPr="00A10C11">
              <w:rPr>
                <w:rFonts w:cs="Calibri"/>
              </w:rPr>
              <w:t xml:space="preserve"> for feedback. Following the discussion, a </w:t>
            </w:r>
            <w:r w:rsidRPr="00A10C11">
              <w:rPr>
                <w:rFonts w:cs="Calibri"/>
                <w:b/>
                <w:bCs/>
              </w:rPr>
              <w:t>supermajority vote (67%)</w:t>
            </w:r>
            <w:r w:rsidRPr="00A10C11">
              <w:rPr>
                <w:rFonts w:cs="Calibri"/>
              </w:rPr>
              <w:t xml:space="preserve"> is needed for approval, conducted via formal meeting or electronic ballot. Approved amendments will be documented, implemented within an agreed timeframe, and archived with version control.</w:t>
            </w:r>
            <w:r w:rsidRPr="00D76F74">
              <w:rPr>
                <w:rFonts w:ascii="Calibri" w:hAnsi="Calibri" w:cs="Calibri"/>
              </w:rPr>
              <w:t xml:space="preserve"> </w:t>
            </w:r>
          </w:p>
        </w:tc>
      </w:tr>
      <w:tr w:rsidR="001D5D01" w14:paraId="47246438" w14:textId="77777777" w:rsidTr="007F2AC4">
        <w:tc>
          <w:tcPr>
            <w:tcW w:w="2335" w:type="dxa"/>
            <w:shd w:val="clear" w:color="auto" w:fill="B3E5A1" w:themeFill="accent6" w:themeFillTint="66"/>
          </w:tcPr>
          <w:p w14:paraId="05B0B4A6" w14:textId="7B398181" w:rsidR="001D5D01" w:rsidRPr="007F2AC4" w:rsidRDefault="00393EA2" w:rsidP="001D5D01">
            <w:pPr>
              <w:rPr>
                <w:b/>
                <w:bCs/>
              </w:rPr>
            </w:pPr>
            <w:r>
              <w:rPr>
                <w:b/>
                <w:bCs/>
              </w:rPr>
              <w:t xml:space="preserve">Dates </w:t>
            </w:r>
            <w:r w:rsidR="001D5D01" w:rsidRPr="007F2AC4">
              <w:rPr>
                <w:b/>
                <w:bCs/>
              </w:rPr>
              <w:t>Amend</w:t>
            </w:r>
            <w:r>
              <w:rPr>
                <w:b/>
                <w:bCs/>
              </w:rPr>
              <w:t>ed</w:t>
            </w:r>
          </w:p>
        </w:tc>
        <w:tc>
          <w:tcPr>
            <w:tcW w:w="7015" w:type="dxa"/>
          </w:tcPr>
          <w:p w14:paraId="670F0AF6" w14:textId="77777777" w:rsidR="001D5D01" w:rsidRDefault="001D5D01" w:rsidP="001D5D01"/>
        </w:tc>
      </w:tr>
    </w:tbl>
    <w:p w14:paraId="1F50FB46" w14:textId="77777777" w:rsidR="00C947C7" w:rsidRPr="00C947C7" w:rsidRDefault="00C947C7" w:rsidP="003A69F4"/>
    <w:sectPr w:rsidR="00C947C7" w:rsidRPr="00C947C7" w:rsidSect="00D648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C808" w14:textId="77777777" w:rsidR="001B4E3B" w:rsidRDefault="001B4E3B" w:rsidP="00A32BF9">
      <w:pPr>
        <w:spacing w:after="0" w:line="240" w:lineRule="auto"/>
      </w:pPr>
      <w:r>
        <w:separator/>
      </w:r>
    </w:p>
  </w:endnote>
  <w:endnote w:type="continuationSeparator" w:id="0">
    <w:p w14:paraId="40F94E2A" w14:textId="77777777" w:rsidR="001B4E3B" w:rsidRDefault="001B4E3B" w:rsidP="00A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C176" w14:textId="77777777" w:rsidR="00631DA3" w:rsidRDefault="0063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922568"/>
      <w:docPartObj>
        <w:docPartGallery w:val="Page Numbers (Bottom of Page)"/>
        <w:docPartUnique/>
      </w:docPartObj>
    </w:sdtPr>
    <w:sdtEndPr>
      <w:rPr>
        <w:noProof/>
      </w:rPr>
    </w:sdtEndPr>
    <w:sdtContent>
      <w:p w14:paraId="07BF2669" w14:textId="7A4576D1" w:rsidR="00631DA3" w:rsidRDefault="00631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640CE" w14:textId="77777777" w:rsidR="00631DA3" w:rsidRDefault="00631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4DC" w14:textId="77777777" w:rsidR="00631DA3" w:rsidRDefault="0063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9893" w14:textId="77777777" w:rsidR="001B4E3B" w:rsidRDefault="001B4E3B" w:rsidP="00A32BF9">
      <w:pPr>
        <w:spacing w:after="0" w:line="240" w:lineRule="auto"/>
      </w:pPr>
      <w:r>
        <w:separator/>
      </w:r>
    </w:p>
  </w:footnote>
  <w:footnote w:type="continuationSeparator" w:id="0">
    <w:p w14:paraId="78D8DF67" w14:textId="77777777" w:rsidR="001B4E3B" w:rsidRDefault="001B4E3B" w:rsidP="00A3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7592" w14:textId="77777777" w:rsidR="00631DA3" w:rsidRDefault="00631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982" w14:textId="77777777" w:rsidR="00A32BF9" w:rsidRDefault="00A32BF9" w:rsidP="00A32BF9">
    <w:pPr>
      <w:pStyle w:val="Header"/>
      <w:jc w:val="right"/>
      <w:rPr>
        <w:b/>
        <w:bCs/>
        <w:sz w:val="44"/>
        <w:szCs w:val="44"/>
      </w:rPr>
    </w:pPr>
  </w:p>
  <w:p w14:paraId="0BEB7C8B" w14:textId="77777777" w:rsidR="00A32BF9" w:rsidRDefault="00A32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979D" w14:textId="77777777" w:rsidR="00A32BF9" w:rsidRDefault="00A32BF9" w:rsidP="00A32BF9">
    <w:pPr>
      <w:pStyle w:val="Header"/>
      <w:jc w:val="right"/>
      <w:rPr>
        <w:b/>
        <w:bCs/>
        <w:sz w:val="44"/>
        <w:szCs w:val="44"/>
      </w:rPr>
    </w:pPr>
    <w:r>
      <w:rPr>
        <w:b/>
        <w:bCs/>
        <w:noProof/>
      </w:rPr>
      <w:drawing>
        <wp:anchor distT="0" distB="0" distL="114300" distR="114300" simplePos="0" relativeHeight="251658240" behindDoc="0" locked="0" layoutInCell="1" allowOverlap="1" wp14:anchorId="6D71BA69" wp14:editId="3F094043">
          <wp:simplePos x="0" y="0"/>
          <wp:positionH relativeFrom="column">
            <wp:posOffset>2407920</wp:posOffset>
          </wp:positionH>
          <wp:positionV relativeFrom="paragraph">
            <wp:posOffset>13335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5DFD3C9F"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570B90C1"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5C7"/>
    <w:multiLevelType w:val="multilevel"/>
    <w:tmpl w:val="CBA4E2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3E1A0D"/>
    <w:multiLevelType w:val="multilevel"/>
    <w:tmpl w:val="543842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3690BE2"/>
    <w:multiLevelType w:val="multilevel"/>
    <w:tmpl w:val="32DCA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22B9E"/>
    <w:multiLevelType w:val="multilevel"/>
    <w:tmpl w:val="F254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D1CBD"/>
    <w:multiLevelType w:val="multilevel"/>
    <w:tmpl w:val="5D3C3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583477">
    <w:abstractNumId w:val="5"/>
  </w:num>
  <w:num w:numId="2" w16cid:durableId="628586001">
    <w:abstractNumId w:val="4"/>
  </w:num>
  <w:num w:numId="3" w16cid:durableId="2087607109">
    <w:abstractNumId w:val="6"/>
  </w:num>
  <w:num w:numId="4" w16cid:durableId="1243369989">
    <w:abstractNumId w:val="2"/>
  </w:num>
  <w:num w:numId="5" w16cid:durableId="479733511">
    <w:abstractNumId w:val="3"/>
  </w:num>
  <w:num w:numId="6" w16cid:durableId="1221984673">
    <w:abstractNumId w:val="0"/>
  </w:num>
  <w:num w:numId="7" w16cid:durableId="18941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B"/>
    <w:rsid w:val="00003713"/>
    <w:rsid w:val="00014FDE"/>
    <w:rsid w:val="000276C6"/>
    <w:rsid w:val="00036D51"/>
    <w:rsid w:val="00064314"/>
    <w:rsid w:val="0007577E"/>
    <w:rsid w:val="000D417D"/>
    <w:rsid w:val="000E1262"/>
    <w:rsid w:val="000E6826"/>
    <w:rsid w:val="00153AD7"/>
    <w:rsid w:val="00166409"/>
    <w:rsid w:val="0018229E"/>
    <w:rsid w:val="001A735B"/>
    <w:rsid w:val="001B4E3B"/>
    <w:rsid w:val="001B6F1B"/>
    <w:rsid w:val="001B7DF0"/>
    <w:rsid w:val="001D5D01"/>
    <w:rsid w:val="001E3B19"/>
    <w:rsid w:val="00266A5A"/>
    <w:rsid w:val="002C6453"/>
    <w:rsid w:val="002F07DE"/>
    <w:rsid w:val="003262C5"/>
    <w:rsid w:val="003262DC"/>
    <w:rsid w:val="003329E3"/>
    <w:rsid w:val="00350D3F"/>
    <w:rsid w:val="00352AFC"/>
    <w:rsid w:val="00354810"/>
    <w:rsid w:val="00357943"/>
    <w:rsid w:val="0036352B"/>
    <w:rsid w:val="00393EA2"/>
    <w:rsid w:val="003A69F4"/>
    <w:rsid w:val="00400A91"/>
    <w:rsid w:val="004165D1"/>
    <w:rsid w:val="00426632"/>
    <w:rsid w:val="0043453D"/>
    <w:rsid w:val="00435B27"/>
    <w:rsid w:val="00457B1D"/>
    <w:rsid w:val="0047052B"/>
    <w:rsid w:val="004D76D6"/>
    <w:rsid w:val="00524064"/>
    <w:rsid w:val="00587BC3"/>
    <w:rsid w:val="005A6DB5"/>
    <w:rsid w:val="005D599F"/>
    <w:rsid w:val="005E6262"/>
    <w:rsid w:val="00606F61"/>
    <w:rsid w:val="00620019"/>
    <w:rsid w:val="00631DA3"/>
    <w:rsid w:val="0065492A"/>
    <w:rsid w:val="006E3F8D"/>
    <w:rsid w:val="006F0F65"/>
    <w:rsid w:val="00712E4E"/>
    <w:rsid w:val="00714619"/>
    <w:rsid w:val="00724D54"/>
    <w:rsid w:val="00750045"/>
    <w:rsid w:val="00753ACB"/>
    <w:rsid w:val="007673C9"/>
    <w:rsid w:val="007D0A7D"/>
    <w:rsid w:val="007F2AC4"/>
    <w:rsid w:val="00807070"/>
    <w:rsid w:val="008444D5"/>
    <w:rsid w:val="00864311"/>
    <w:rsid w:val="00874508"/>
    <w:rsid w:val="008754B6"/>
    <w:rsid w:val="008764C7"/>
    <w:rsid w:val="00903BB7"/>
    <w:rsid w:val="0092385D"/>
    <w:rsid w:val="00934380"/>
    <w:rsid w:val="00950C12"/>
    <w:rsid w:val="00962DFC"/>
    <w:rsid w:val="0097128A"/>
    <w:rsid w:val="009862F4"/>
    <w:rsid w:val="009B4C80"/>
    <w:rsid w:val="009C1714"/>
    <w:rsid w:val="009C7C6A"/>
    <w:rsid w:val="009D5E78"/>
    <w:rsid w:val="00A10C11"/>
    <w:rsid w:val="00A32BF4"/>
    <w:rsid w:val="00A32BF9"/>
    <w:rsid w:val="00A51BB8"/>
    <w:rsid w:val="00AC1FBD"/>
    <w:rsid w:val="00AC3D0D"/>
    <w:rsid w:val="00B84D88"/>
    <w:rsid w:val="00BA37C0"/>
    <w:rsid w:val="00BA7B93"/>
    <w:rsid w:val="00BB4DF5"/>
    <w:rsid w:val="00BC00E1"/>
    <w:rsid w:val="00BC5153"/>
    <w:rsid w:val="00BE15AD"/>
    <w:rsid w:val="00C265D1"/>
    <w:rsid w:val="00C331B4"/>
    <w:rsid w:val="00C570A7"/>
    <w:rsid w:val="00C947C7"/>
    <w:rsid w:val="00C96FBF"/>
    <w:rsid w:val="00CB65B5"/>
    <w:rsid w:val="00CC6335"/>
    <w:rsid w:val="00CD080E"/>
    <w:rsid w:val="00CD3853"/>
    <w:rsid w:val="00CE1123"/>
    <w:rsid w:val="00D22D1E"/>
    <w:rsid w:val="00D23F65"/>
    <w:rsid w:val="00D50CEB"/>
    <w:rsid w:val="00D64837"/>
    <w:rsid w:val="00D67F19"/>
    <w:rsid w:val="00DB4A16"/>
    <w:rsid w:val="00DB5B29"/>
    <w:rsid w:val="00DC0144"/>
    <w:rsid w:val="00DD252A"/>
    <w:rsid w:val="00DE7AD1"/>
    <w:rsid w:val="00E23292"/>
    <w:rsid w:val="00E26DFB"/>
    <w:rsid w:val="00E4108D"/>
    <w:rsid w:val="00E43243"/>
    <w:rsid w:val="00E5309A"/>
    <w:rsid w:val="00E94AE7"/>
    <w:rsid w:val="00ED1ACB"/>
    <w:rsid w:val="00F3304D"/>
    <w:rsid w:val="00F41158"/>
    <w:rsid w:val="00F82A8D"/>
    <w:rsid w:val="00F91D81"/>
    <w:rsid w:val="00FE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22D"/>
  <w15:chartTrackingRefBased/>
  <w15:docId w15:val="{FE108E06-6561-4ADC-8F09-D2F8E406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6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5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7128A"/>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34608">
      <w:bodyDiv w:val="1"/>
      <w:marLeft w:val="0"/>
      <w:marRight w:val="0"/>
      <w:marTop w:val="0"/>
      <w:marBottom w:val="0"/>
      <w:divBdr>
        <w:top w:val="none" w:sz="0" w:space="0" w:color="auto"/>
        <w:left w:val="none" w:sz="0" w:space="0" w:color="auto"/>
        <w:bottom w:val="none" w:sz="0" w:space="0" w:color="auto"/>
        <w:right w:val="none" w:sz="0" w:space="0" w:color="auto"/>
      </w:divBdr>
    </w:div>
    <w:div w:id="1305890824">
      <w:bodyDiv w:val="1"/>
      <w:marLeft w:val="0"/>
      <w:marRight w:val="0"/>
      <w:marTop w:val="0"/>
      <w:marBottom w:val="0"/>
      <w:divBdr>
        <w:top w:val="none" w:sz="0" w:space="0" w:color="auto"/>
        <w:left w:val="none" w:sz="0" w:space="0" w:color="auto"/>
        <w:bottom w:val="none" w:sz="0" w:space="0" w:color="auto"/>
        <w:right w:val="none" w:sz="0" w:space="0" w:color="auto"/>
      </w:divBdr>
    </w:div>
    <w:div w:id="15808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2ECE473B-62ED-46B0-B7A0-B41DDBBA2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44</cp:revision>
  <dcterms:created xsi:type="dcterms:W3CDTF">2025-05-01T23:31:00Z</dcterms:created>
  <dcterms:modified xsi:type="dcterms:W3CDTF">2025-06-19T21:23:00Z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