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FA9FB" w14:textId="77777777" w:rsidR="00A32BF9" w:rsidRPr="00A32BF9" w:rsidRDefault="00A32BF9" w:rsidP="00C947C7">
      <w:pPr>
        <w:jc w:val="center"/>
        <w:rPr>
          <w:b/>
          <w:bCs/>
          <w:sz w:val="18"/>
          <w:szCs w:val="18"/>
        </w:rPr>
      </w:pPr>
    </w:p>
    <w:p w14:paraId="3E68F7F9" w14:textId="77777777" w:rsidR="00E26DFB" w:rsidRPr="00A32BF9" w:rsidRDefault="00014FDE" w:rsidP="00C947C7">
      <w:pPr>
        <w:jc w:val="center"/>
        <w:rPr>
          <w:b/>
          <w:bCs/>
          <w:sz w:val="40"/>
          <w:szCs w:val="40"/>
        </w:rPr>
      </w:pPr>
      <w:r w:rsidRPr="00A32BF9">
        <w:rPr>
          <w:b/>
          <w:bCs/>
          <w:sz w:val="40"/>
          <w:szCs w:val="40"/>
        </w:rPr>
        <w:t>Criminal Justice - Continuum of Care</w:t>
      </w:r>
    </w:p>
    <w:tbl>
      <w:tblPr>
        <w:tblStyle w:val="TableGrid"/>
        <w:tblW w:w="0" w:type="auto"/>
        <w:tblLook w:val="04A0" w:firstRow="1" w:lastRow="0" w:firstColumn="1" w:lastColumn="0" w:noHBand="0" w:noVBand="1"/>
      </w:tblPr>
      <w:tblGrid>
        <w:gridCol w:w="9350"/>
      </w:tblGrid>
      <w:tr w:rsidR="00A32BF9" w14:paraId="33AC04CE" w14:textId="77777777" w:rsidTr="00A32BF9">
        <w:tc>
          <w:tcPr>
            <w:tcW w:w="9350" w:type="dxa"/>
          </w:tcPr>
          <w:p w14:paraId="5BFDD39D" w14:textId="77777777" w:rsidR="00A32BF9" w:rsidRDefault="00A32BF9">
            <w:r>
              <w:t xml:space="preserve">Treatment #4: </w:t>
            </w:r>
            <w:r w:rsidRPr="00014FDE">
              <w:t>Ensure continuity of care for those within the criminal justice system, including those entering and leaving the system by providing treatment and ensuring links to services for those coming out of incarceration</w:t>
            </w:r>
          </w:p>
        </w:tc>
      </w:tr>
    </w:tbl>
    <w:p w14:paraId="69411359" w14:textId="77777777" w:rsidR="00014FDE" w:rsidRDefault="00014FDE"/>
    <w:tbl>
      <w:tblPr>
        <w:tblStyle w:val="TableGrid"/>
        <w:tblW w:w="0" w:type="auto"/>
        <w:tblLook w:val="04A0" w:firstRow="1" w:lastRow="0" w:firstColumn="1" w:lastColumn="0" w:noHBand="0" w:noVBand="1"/>
      </w:tblPr>
      <w:tblGrid>
        <w:gridCol w:w="715"/>
        <w:gridCol w:w="1260"/>
        <w:gridCol w:w="360"/>
        <w:gridCol w:w="7015"/>
      </w:tblGrid>
      <w:tr w:rsidR="000E1262" w14:paraId="35178AAA" w14:textId="77777777" w:rsidTr="00FB6BF5">
        <w:tc>
          <w:tcPr>
            <w:tcW w:w="9350" w:type="dxa"/>
            <w:gridSpan w:val="4"/>
            <w:shd w:val="clear" w:color="auto" w:fill="B3E5A1" w:themeFill="accent6" w:themeFillTint="66"/>
          </w:tcPr>
          <w:p w14:paraId="0090263C"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5C58EB" w14:paraId="4BE39F8C" w14:textId="77777777" w:rsidTr="005C58EB">
        <w:tc>
          <w:tcPr>
            <w:tcW w:w="1975" w:type="dxa"/>
            <w:gridSpan w:val="2"/>
            <w:shd w:val="clear" w:color="auto" w:fill="B3E5A1" w:themeFill="accent6" w:themeFillTint="66"/>
          </w:tcPr>
          <w:p w14:paraId="1B871879" w14:textId="7F69A81A" w:rsidR="005C58EB" w:rsidRDefault="005C58EB" w:rsidP="00FD46B8">
            <w:pPr>
              <w:rPr>
                <w:b/>
                <w:bCs/>
              </w:rPr>
            </w:pPr>
            <w:r>
              <w:rPr>
                <w:b/>
                <w:bCs/>
              </w:rPr>
              <w:t>Project Sponsors</w:t>
            </w:r>
          </w:p>
        </w:tc>
        <w:tc>
          <w:tcPr>
            <w:tcW w:w="7375" w:type="dxa"/>
            <w:gridSpan w:val="2"/>
          </w:tcPr>
          <w:p w14:paraId="28C2953A" w14:textId="7D4348AA" w:rsidR="005C58EB" w:rsidRPr="00426632" w:rsidRDefault="005C58EB" w:rsidP="00FD46B8">
            <w:r>
              <w:t>Bree Derrick, IDOC; Sandy Jones, ISC</w:t>
            </w:r>
          </w:p>
        </w:tc>
      </w:tr>
      <w:tr w:rsidR="00A32BF9" w14:paraId="60CC42F9" w14:textId="77777777" w:rsidTr="005C58EB">
        <w:tc>
          <w:tcPr>
            <w:tcW w:w="1975" w:type="dxa"/>
            <w:gridSpan w:val="2"/>
            <w:shd w:val="clear" w:color="auto" w:fill="B3E5A1" w:themeFill="accent6" w:themeFillTint="66"/>
          </w:tcPr>
          <w:p w14:paraId="632F5E71" w14:textId="77777777" w:rsidR="00A32BF9" w:rsidRDefault="00A32BF9" w:rsidP="00FD46B8">
            <w:pPr>
              <w:rPr>
                <w:b/>
                <w:bCs/>
              </w:rPr>
            </w:pPr>
            <w:r>
              <w:rPr>
                <w:b/>
                <w:bCs/>
              </w:rPr>
              <w:t>Team Chair(s)</w:t>
            </w:r>
          </w:p>
        </w:tc>
        <w:tc>
          <w:tcPr>
            <w:tcW w:w="7375" w:type="dxa"/>
            <w:gridSpan w:val="2"/>
          </w:tcPr>
          <w:p w14:paraId="2B4713B8" w14:textId="77777777" w:rsidR="00A32BF9" w:rsidRDefault="00A32BF9" w:rsidP="00FD46B8">
            <w:pPr>
              <w:rPr>
                <w:b/>
                <w:bCs/>
              </w:rPr>
            </w:pPr>
            <w:r w:rsidRPr="00426632">
              <w:t>Wally Cambell and Sandy Jones</w:t>
            </w:r>
          </w:p>
        </w:tc>
      </w:tr>
      <w:tr w:rsidR="00A32BF9" w14:paraId="294EB8CE" w14:textId="77777777" w:rsidTr="005C58EB">
        <w:tc>
          <w:tcPr>
            <w:tcW w:w="1975" w:type="dxa"/>
            <w:gridSpan w:val="2"/>
            <w:shd w:val="clear" w:color="auto" w:fill="B3E5A1" w:themeFill="accent6" w:themeFillTint="66"/>
          </w:tcPr>
          <w:p w14:paraId="17322F17" w14:textId="77777777" w:rsidR="00A32BF9" w:rsidRDefault="00A32BF9" w:rsidP="00FD46B8">
            <w:pPr>
              <w:rPr>
                <w:b/>
                <w:bCs/>
              </w:rPr>
            </w:pPr>
            <w:r>
              <w:rPr>
                <w:b/>
                <w:bCs/>
              </w:rPr>
              <w:t>Team Reporter</w:t>
            </w:r>
          </w:p>
        </w:tc>
        <w:tc>
          <w:tcPr>
            <w:tcW w:w="7375" w:type="dxa"/>
            <w:gridSpan w:val="2"/>
          </w:tcPr>
          <w:p w14:paraId="7B4536A8" w14:textId="77777777" w:rsidR="00A32BF9" w:rsidRDefault="00A32BF9" w:rsidP="00FD46B8">
            <w:pPr>
              <w:rPr>
                <w:b/>
                <w:bCs/>
              </w:rPr>
            </w:pPr>
            <w:r>
              <w:t>Heather Casady</w:t>
            </w:r>
          </w:p>
        </w:tc>
      </w:tr>
      <w:tr w:rsidR="000E1262" w14:paraId="46DA89C0" w14:textId="77777777" w:rsidTr="000E1262">
        <w:tc>
          <w:tcPr>
            <w:tcW w:w="9350" w:type="dxa"/>
            <w:gridSpan w:val="4"/>
            <w:shd w:val="clear" w:color="auto" w:fill="B3E5A1" w:themeFill="accent6" w:themeFillTint="66"/>
          </w:tcPr>
          <w:p w14:paraId="4C146E5B" w14:textId="77777777" w:rsidR="000E1262" w:rsidRPr="000E1262" w:rsidRDefault="000E1262" w:rsidP="000E1262">
            <w:pPr>
              <w:jc w:val="center"/>
              <w:rPr>
                <w:b/>
                <w:bCs/>
              </w:rPr>
            </w:pPr>
            <w:r w:rsidRPr="000E1262">
              <w:rPr>
                <w:b/>
                <w:bCs/>
                <w:sz w:val="28"/>
                <w:szCs w:val="28"/>
              </w:rPr>
              <w:t>PURPOSE</w:t>
            </w:r>
          </w:p>
        </w:tc>
      </w:tr>
      <w:tr w:rsidR="000E1262" w14:paraId="57AABA1C" w14:textId="77777777" w:rsidTr="00690841">
        <w:tc>
          <w:tcPr>
            <w:tcW w:w="9350" w:type="dxa"/>
            <w:gridSpan w:val="4"/>
            <w:shd w:val="clear" w:color="auto" w:fill="auto"/>
          </w:tcPr>
          <w:p w14:paraId="48E36BC8" w14:textId="77777777" w:rsidR="000E1262" w:rsidRDefault="000E1262" w:rsidP="00FD46B8">
            <w:r>
              <w:t>Ensure availability of resources at every point along the continuum of criminal justice services in order to minimize unnecessary system involvement.</w:t>
            </w:r>
          </w:p>
        </w:tc>
      </w:tr>
      <w:tr w:rsidR="000E1262" w14:paraId="22473E04" w14:textId="77777777" w:rsidTr="000E1262">
        <w:tc>
          <w:tcPr>
            <w:tcW w:w="9350" w:type="dxa"/>
            <w:gridSpan w:val="4"/>
            <w:shd w:val="clear" w:color="auto" w:fill="B3E5A1" w:themeFill="accent6" w:themeFillTint="66"/>
          </w:tcPr>
          <w:p w14:paraId="4BB2B7F0" w14:textId="77777777" w:rsidR="000E1262" w:rsidRDefault="000E1262" w:rsidP="000E1262">
            <w:pPr>
              <w:jc w:val="center"/>
            </w:pPr>
            <w:r w:rsidRPr="000E1262">
              <w:rPr>
                <w:b/>
                <w:bCs/>
                <w:sz w:val="28"/>
                <w:szCs w:val="28"/>
              </w:rPr>
              <w:t>ACTION ITEMS TO ACCOMPLISH</w:t>
            </w:r>
          </w:p>
        </w:tc>
      </w:tr>
      <w:tr w:rsidR="000E1262" w14:paraId="49FD99D2" w14:textId="77777777" w:rsidTr="000E1262">
        <w:tc>
          <w:tcPr>
            <w:tcW w:w="715" w:type="dxa"/>
            <w:shd w:val="clear" w:color="auto" w:fill="B3E5A1" w:themeFill="accent6" w:themeFillTint="66"/>
          </w:tcPr>
          <w:p w14:paraId="2222F267" w14:textId="77777777" w:rsidR="000E1262" w:rsidRDefault="000E1262" w:rsidP="000E1262">
            <w:pPr>
              <w:jc w:val="center"/>
              <w:rPr>
                <w:b/>
                <w:bCs/>
              </w:rPr>
            </w:pPr>
            <w:r>
              <w:rPr>
                <w:b/>
                <w:bCs/>
              </w:rPr>
              <w:t>1.</w:t>
            </w:r>
          </w:p>
        </w:tc>
        <w:tc>
          <w:tcPr>
            <w:tcW w:w="8635" w:type="dxa"/>
            <w:gridSpan w:val="3"/>
            <w:shd w:val="clear" w:color="auto" w:fill="auto"/>
          </w:tcPr>
          <w:p w14:paraId="31BA0FD1" w14:textId="77777777" w:rsidR="000E1262" w:rsidRPr="000E1262" w:rsidRDefault="000E1262" w:rsidP="000E1262">
            <w:r>
              <w:t>E</w:t>
            </w:r>
            <w:r w:rsidRPr="00426632">
              <w:t>xpanding Peer Recovery Services</w:t>
            </w:r>
          </w:p>
        </w:tc>
      </w:tr>
      <w:tr w:rsidR="000E1262" w14:paraId="1E09C80C" w14:textId="77777777" w:rsidTr="000E1262">
        <w:tc>
          <w:tcPr>
            <w:tcW w:w="715" w:type="dxa"/>
            <w:shd w:val="clear" w:color="auto" w:fill="B3E5A1" w:themeFill="accent6" w:themeFillTint="66"/>
          </w:tcPr>
          <w:p w14:paraId="2102DF6A" w14:textId="77777777" w:rsidR="000E1262" w:rsidRDefault="000E1262" w:rsidP="000E1262">
            <w:pPr>
              <w:jc w:val="center"/>
              <w:rPr>
                <w:b/>
                <w:bCs/>
              </w:rPr>
            </w:pPr>
            <w:r>
              <w:rPr>
                <w:b/>
                <w:bCs/>
              </w:rPr>
              <w:t>2.</w:t>
            </w:r>
          </w:p>
        </w:tc>
        <w:tc>
          <w:tcPr>
            <w:tcW w:w="8635" w:type="dxa"/>
            <w:gridSpan w:val="3"/>
            <w:shd w:val="clear" w:color="auto" w:fill="auto"/>
          </w:tcPr>
          <w:p w14:paraId="06419BFC" w14:textId="77777777" w:rsidR="000E1262" w:rsidRDefault="000E1262" w:rsidP="000E1262">
            <w:pPr>
              <w:rPr>
                <w:b/>
                <w:bCs/>
              </w:rPr>
            </w:pPr>
            <w:r>
              <w:t>Funding for independent assessors and other resources for individuals preparing to release from IDOC/IDJC custody/incarceration</w:t>
            </w:r>
          </w:p>
        </w:tc>
      </w:tr>
      <w:tr w:rsidR="000E1262" w14:paraId="67113F31" w14:textId="77777777" w:rsidTr="000E1262">
        <w:tc>
          <w:tcPr>
            <w:tcW w:w="715" w:type="dxa"/>
            <w:shd w:val="clear" w:color="auto" w:fill="B3E5A1" w:themeFill="accent6" w:themeFillTint="66"/>
          </w:tcPr>
          <w:p w14:paraId="784C425B" w14:textId="77777777" w:rsidR="000E1262" w:rsidRDefault="000E1262" w:rsidP="000E1262">
            <w:pPr>
              <w:jc w:val="center"/>
              <w:rPr>
                <w:b/>
                <w:bCs/>
              </w:rPr>
            </w:pPr>
            <w:r>
              <w:rPr>
                <w:b/>
                <w:bCs/>
              </w:rPr>
              <w:t>3.</w:t>
            </w:r>
          </w:p>
        </w:tc>
        <w:tc>
          <w:tcPr>
            <w:tcW w:w="8635" w:type="dxa"/>
            <w:gridSpan w:val="3"/>
            <w:shd w:val="clear" w:color="auto" w:fill="auto"/>
          </w:tcPr>
          <w:p w14:paraId="209AA0A3" w14:textId="77777777" w:rsidR="000E1262" w:rsidRDefault="000E1262" w:rsidP="000E1262">
            <w:pPr>
              <w:rPr>
                <w:b/>
                <w:bCs/>
              </w:rPr>
            </w:pPr>
            <w:r>
              <w:t>Expanding MAT/MOUD across the system</w:t>
            </w:r>
          </w:p>
        </w:tc>
      </w:tr>
      <w:tr w:rsidR="000E1262" w14:paraId="2FFA8301" w14:textId="77777777" w:rsidTr="000E1262">
        <w:tc>
          <w:tcPr>
            <w:tcW w:w="715" w:type="dxa"/>
            <w:shd w:val="clear" w:color="auto" w:fill="B3E5A1" w:themeFill="accent6" w:themeFillTint="66"/>
          </w:tcPr>
          <w:p w14:paraId="1BB21A90" w14:textId="77777777" w:rsidR="000E1262" w:rsidRDefault="000E1262" w:rsidP="000E1262">
            <w:pPr>
              <w:jc w:val="center"/>
              <w:rPr>
                <w:b/>
                <w:bCs/>
              </w:rPr>
            </w:pPr>
            <w:r>
              <w:rPr>
                <w:b/>
                <w:bCs/>
              </w:rPr>
              <w:t>4.</w:t>
            </w:r>
          </w:p>
        </w:tc>
        <w:tc>
          <w:tcPr>
            <w:tcW w:w="8635" w:type="dxa"/>
            <w:gridSpan w:val="3"/>
            <w:shd w:val="clear" w:color="auto" w:fill="auto"/>
          </w:tcPr>
          <w:p w14:paraId="1AB1BF09" w14:textId="77777777" w:rsidR="000E1262" w:rsidRDefault="000E1262" w:rsidP="000E1262">
            <w:pPr>
              <w:rPr>
                <w:b/>
                <w:bCs/>
              </w:rPr>
            </w:pPr>
            <w:r>
              <w:t>Multi-agency partnership for screening, court processes, case management, alternative placement, and PV options (non-incarcerations)</w:t>
            </w:r>
          </w:p>
        </w:tc>
      </w:tr>
      <w:tr w:rsidR="000E1262" w:rsidRPr="00BC071B" w14:paraId="35279ABD" w14:textId="77777777" w:rsidTr="0046257C">
        <w:tc>
          <w:tcPr>
            <w:tcW w:w="9350" w:type="dxa"/>
            <w:gridSpan w:val="4"/>
            <w:shd w:val="clear" w:color="auto" w:fill="B3E5A1" w:themeFill="accent6" w:themeFillTint="66"/>
          </w:tcPr>
          <w:p w14:paraId="388082D3" w14:textId="77777777" w:rsidR="000E1262" w:rsidRPr="00BC071B" w:rsidRDefault="0046257C" w:rsidP="0046257C">
            <w:pPr>
              <w:jc w:val="center"/>
              <w:rPr>
                <w:b/>
                <w:bCs/>
                <w:sz w:val="28"/>
                <w:szCs w:val="28"/>
              </w:rPr>
            </w:pPr>
            <w:r>
              <w:rPr>
                <w:b/>
                <w:bCs/>
                <w:sz w:val="28"/>
                <w:szCs w:val="28"/>
              </w:rPr>
              <w:t>PARAMETERS OR CONSTRAINTS</w:t>
            </w:r>
          </w:p>
        </w:tc>
      </w:tr>
      <w:tr w:rsidR="007F2AC4" w:rsidRPr="00BC071B" w14:paraId="75979876" w14:textId="77777777" w:rsidTr="00FD46B8">
        <w:tc>
          <w:tcPr>
            <w:tcW w:w="9350" w:type="dxa"/>
            <w:gridSpan w:val="4"/>
          </w:tcPr>
          <w:p w14:paraId="4B682671" w14:textId="77777777" w:rsidR="007F2AC4" w:rsidRPr="00BC071B" w:rsidRDefault="007F2AC4" w:rsidP="00FD46B8">
            <w:pPr>
              <w:rPr>
                <w:b/>
                <w:bCs/>
                <w:sz w:val="28"/>
                <w:szCs w:val="28"/>
              </w:rPr>
            </w:pPr>
          </w:p>
        </w:tc>
      </w:tr>
      <w:tr w:rsidR="007F2AC4" w:rsidRPr="00BC071B" w14:paraId="282309AC" w14:textId="77777777" w:rsidTr="0046257C">
        <w:tc>
          <w:tcPr>
            <w:tcW w:w="9350" w:type="dxa"/>
            <w:gridSpan w:val="4"/>
            <w:shd w:val="clear" w:color="auto" w:fill="B3E5A1" w:themeFill="accent6" w:themeFillTint="66"/>
          </w:tcPr>
          <w:p w14:paraId="53C0D7C9" w14:textId="77777777" w:rsidR="007F2AC4" w:rsidRPr="00BC071B" w:rsidRDefault="0046257C" w:rsidP="0046257C">
            <w:pPr>
              <w:jc w:val="center"/>
              <w:rPr>
                <w:b/>
                <w:bCs/>
                <w:sz w:val="28"/>
                <w:szCs w:val="28"/>
              </w:rPr>
            </w:pPr>
            <w:r>
              <w:rPr>
                <w:b/>
                <w:bCs/>
                <w:sz w:val="28"/>
                <w:szCs w:val="28"/>
              </w:rPr>
              <w:t>HIGH-LEVEL RISKS</w:t>
            </w:r>
          </w:p>
        </w:tc>
      </w:tr>
      <w:tr w:rsidR="007F2AC4" w:rsidRPr="00BC071B" w14:paraId="46C44F7A" w14:textId="77777777" w:rsidTr="00FD46B8">
        <w:tc>
          <w:tcPr>
            <w:tcW w:w="9350" w:type="dxa"/>
            <w:gridSpan w:val="4"/>
          </w:tcPr>
          <w:p w14:paraId="6336C22E" w14:textId="77777777" w:rsidR="007F2AC4" w:rsidRPr="00BC071B" w:rsidRDefault="007F2AC4" w:rsidP="00FD46B8">
            <w:pPr>
              <w:rPr>
                <w:b/>
                <w:bCs/>
                <w:sz w:val="28"/>
                <w:szCs w:val="28"/>
              </w:rPr>
            </w:pPr>
          </w:p>
        </w:tc>
      </w:tr>
      <w:tr w:rsidR="000E1262" w:rsidRPr="00BC071B" w14:paraId="06029F21" w14:textId="77777777" w:rsidTr="000E1262">
        <w:tc>
          <w:tcPr>
            <w:tcW w:w="9350" w:type="dxa"/>
            <w:gridSpan w:val="4"/>
            <w:shd w:val="clear" w:color="auto" w:fill="B3E5A1" w:themeFill="accent6" w:themeFillTint="66"/>
          </w:tcPr>
          <w:p w14:paraId="7429E351" w14:textId="77777777" w:rsidR="000E1262" w:rsidRPr="00BC071B" w:rsidRDefault="000E1262" w:rsidP="000E1262">
            <w:pPr>
              <w:jc w:val="center"/>
              <w:rPr>
                <w:b/>
                <w:bCs/>
              </w:rPr>
            </w:pPr>
            <w:r w:rsidRPr="00BC071B">
              <w:rPr>
                <w:b/>
                <w:bCs/>
                <w:sz w:val="28"/>
                <w:szCs w:val="28"/>
              </w:rPr>
              <w:t>IMPLEMENTATION TEAM MEMBERS</w:t>
            </w:r>
          </w:p>
        </w:tc>
      </w:tr>
      <w:tr w:rsidR="000E1262" w:rsidRPr="00BC071B" w14:paraId="2FE43ECD" w14:textId="77777777" w:rsidTr="007F2AC4">
        <w:tc>
          <w:tcPr>
            <w:tcW w:w="2335" w:type="dxa"/>
            <w:gridSpan w:val="3"/>
          </w:tcPr>
          <w:p w14:paraId="2D9F5C7A" w14:textId="77777777" w:rsidR="000E1262" w:rsidRPr="00BC071B" w:rsidRDefault="000E1262" w:rsidP="00FD46B8">
            <w:r w:rsidRPr="00BC071B">
              <w:t>Wally Campbell</w:t>
            </w:r>
          </w:p>
        </w:tc>
        <w:tc>
          <w:tcPr>
            <w:tcW w:w="7015" w:type="dxa"/>
          </w:tcPr>
          <w:p w14:paraId="55AB8398" w14:textId="77777777" w:rsidR="000E1262" w:rsidRPr="00BC071B" w:rsidRDefault="000E1262" w:rsidP="00FD46B8">
            <w:r w:rsidRPr="00BC071B">
              <w:t>Idaho Department of Correction</w:t>
            </w:r>
          </w:p>
        </w:tc>
      </w:tr>
      <w:tr w:rsidR="000E1262" w:rsidRPr="00BC071B" w14:paraId="229F3E25" w14:textId="77777777" w:rsidTr="007F2AC4">
        <w:tc>
          <w:tcPr>
            <w:tcW w:w="2335" w:type="dxa"/>
            <w:gridSpan w:val="3"/>
          </w:tcPr>
          <w:p w14:paraId="624A1D7B" w14:textId="77777777" w:rsidR="000E1262" w:rsidRPr="00BC071B" w:rsidRDefault="000E1262" w:rsidP="00FD46B8">
            <w:r w:rsidRPr="00BC071B">
              <w:t>Sandy Jones</w:t>
            </w:r>
          </w:p>
        </w:tc>
        <w:tc>
          <w:tcPr>
            <w:tcW w:w="7015" w:type="dxa"/>
          </w:tcPr>
          <w:p w14:paraId="5059DDCF" w14:textId="77777777" w:rsidR="000E1262" w:rsidRPr="00BC071B" w:rsidRDefault="000E1262" w:rsidP="00FD46B8">
            <w:r w:rsidRPr="00BC071B">
              <w:t>Administrative Office of the Courts</w:t>
            </w:r>
          </w:p>
        </w:tc>
      </w:tr>
      <w:tr w:rsidR="000E1262" w:rsidRPr="00BC071B" w14:paraId="1FBF3F9D" w14:textId="77777777" w:rsidTr="007F2AC4">
        <w:tc>
          <w:tcPr>
            <w:tcW w:w="2335" w:type="dxa"/>
            <w:gridSpan w:val="3"/>
          </w:tcPr>
          <w:p w14:paraId="521FD327" w14:textId="77777777" w:rsidR="000E1262" w:rsidRPr="00BC071B" w:rsidRDefault="000E1262" w:rsidP="00FD46B8">
            <w:r w:rsidRPr="00BC071B">
              <w:t>Heather Casady</w:t>
            </w:r>
          </w:p>
        </w:tc>
        <w:tc>
          <w:tcPr>
            <w:tcW w:w="7015" w:type="dxa"/>
          </w:tcPr>
          <w:p w14:paraId="29F46479" w14:textId="77777777" w:rsidR="000E1262" w:rsidRPr="00BC071B" w:rsidRDefault="000E1262" w:rsidP="00FD46B8">
            <w:r w:rsidRPr="00BC071B">
              <w:t xml:space="preserve">Idaho Department of Correction </w:t>
            </w:r>
          </w:p>
        </w:tc>
      </w:tr>
      <w:tr w:rsidR="000E1262" w:rsidRPr="00BC071B" w14:paraId="78017EC9" w14:textId="77777777" w:rsidTr="007F2AC4">
        <w:tc>
          <w:tcPr>
            <w:tcW w:w="2335" w:type="dxa"/>
            <w:gridSpan w:val="3"/>
          </w:tcPr>
          <w:p w14:paraId="06F832B8" w14:textId="77777777" w:rsidR="000E1262" w:rsidRPr="00BC071B" w:rsidRDefault="000E1262" w:rsidP="00FD46B8">
            <w:r w:rsidRPr="00BC071B">
              <w:t>Dusty Orr</w:t>
            </w:r>
          </w:p>
        </w:tc>
        <w:tc>
          <w:tcPr>
            <w:tcW w:w="7015" w:type="dxa"/>
          </w:tcPr>
          <w:p w14:paraId="7ABE77A9" w14:textId="77777777" w:rsidR="000E1262" w:rsidRPr="00BC071B" w:rsidRDefault="000E1262" w:rsidP="00FD46B8">
            <w:r w:rsidRPr="00BC071B">
              <w:t>Idaho Department of Correction</w:t>
            </w:r>
          </w:p>
        </w:tc>
      </w:tr>
      <w:tr w:rsidR="000E1262" w:rsidRPr="00BC071B" w14:paraId="61D451C0" w14:textId="77777777" w:rsidTr="007F2AC4">
        <w:tc>
          <w:tcPr>
            <w:tcW w:w="2335" w:type="dxa"/>
            <w:gridSpan w:val="3"/>
          </w:tcPr>
          <w:p w14:paraId="6C69D08A" w14:textId="77777777" w:rsidR="000E1262" w:rsidRPr="00BC071B" w:rsidRDefault="000E1262" w:rsidP="00FD46B8">
            <w:r w:rsidRPr="00BC071B">
              <w:t>James Philips</w:t>
            </w:r>
          </w:p>
        </w:tc>
        <w:tc>
          <w:tcPr>
            <w:tcW w:w="7015" w:type="dxa"/>
          </w:tcPr>
          <w:p w14:paraId="32723126" w14:textId="77777777" w:rsidR="000E1262" w:rsidRPr="00BC071B" w:rsidRDefault="000E1262" w:rsidP="00FD46B8">
            <w:r w:rsidRPr="00BC071B">
              <w:t>Idaho Department of Juvenile Corrections</w:t>
            </w:r>
          </w:p>
        </w:tc>
      </w:tr>
      <w:tr w:rsidR="000E1262" w:rsidRPr="00BC071B" w14:paraId="41260C2B" w14:textId="77777777" w:rsidTr="007F2AC4">
        <w:tc>
          <w:tcPr>
            <w:tcW w:w="2335" w:type="dxa"/>
            <w:gridSpan w:val="3"/>
          </w:tcPr>
          <w:p w14:paraId="29510F83" w14:textId="77777777" w:rsidR="000E1262" w:rsidRPr="00BC071B" w:rsidRDefault="000E1262" w:rsidP="00FD46B8">
            <w:r w:rsidRPr="00BC071B">
              <w:t>Sam Hulse</w:t>
            </w:r>
          </w:p>
        </w:tc>
        <w:tc>
          <w:tcPr>
            <w:tcW w:w="7015" w:type="dxa"/>
          </w:tcPr>
          <w:p w14:paraId="25CCE97C" w14:textId="77777777" w:rsidR="000E1262" w:rsidRPr="00BC071B" w:rsidRDefault="000E1262" w:rsidP="00FD46B8">
            <w:r w:rsidRPr="00BC071B">
              <w:t>Bonneville County Sheriff</w:t>
            </w:r>
          </w:p>
        </w:tc>
      </w:tr>
      <w:tr w:rsidR="000E1262" w:rsidRPr="00BC071B" w14:paraId="0FD9B24D" w14:textId="77777777" w:rsidTr="007F2AC4">
        <w:tc>
          <w:tcPr>
            <w:tcW w:w="2335" w:type="dxa"/>
            <w:gridSpan w:val="3"/>
          </w:tcPr>
          <w:p w14:paraId="6BADAA74" w14:textId="77777777" w:rsidR="000E1262" w:rsidRPr="00BC071B" w:rsidRDefault="000E1262" w:rsidP="00FD46B8">
            <w:r w:rsidRPr="00BC071B">
              <w:t>Adam Panitch</w:t>
            </w:r>
          </w:p>
        </w:tc>
        <w:tc>
          <w:tcPr>
            <w:tcW w:w="7015" w:type="dxa"/>
          </w:tcPr>
          <w:p w14:paraId="0071265F" w14:textId="77777777" w:rsidR="000E1262" w:rsidRPr="00BC071B" w:rsidRDefault="000E1262" w:rsidP="00FD46B8">
            <w:r w:rsidRPr="00BC071B">
              <w:t>Idaho Department of Health and Welfare</w:t>
            </w:r>
          </w:p>
        </w:tc>
      </w:tr>
      <w:tr w:rsidR="000E1262" w:rsidRPr="00BC071B" w14:paraId="349AF60F" w14:textId="77777777" w:rsidTr="007F2AC4">
        <w:tc>
          <w:tcPr>
            <w:tcW w:w="2335" w:type="dxa"/>
            <w:gridSpan w:val="3"/>
          </w:tcPr>
          <w:p w14:paraId="2D99F8C2" w14:textId="77777777" w:rsidR="000E1262" w:rsidRPr="00BC071B" w:rsidRDefault="000E1262" w:rsidP="00FD46B8">
            <w:r w:rsidRPr="00BC071B">
              <w:t>Katelyn Morris</w:t>
            </w:r>
          </w:p>
        </w:tc>
        <w:tc>
          <w:tcPr>
            <w:tcW w:w="7015" w:type="dxa"/>
          </w:tcPr>
          <w:p w14:paraId="06E90615" w14:textId="77777777" w:rsidR="000E1262" w:rsidRPr="00BC071B" w:rsidRDefault="000E1262" w:rsidP="00FD46B8">
            <w:r w:rsidRPr="00BC071B">
              <w:t>GEO Group</w:t>
            </w:r>
          </w:p>
        </w:tc>
      </w:tr>
      <w:tr w:rsidR="000E1262" w:rsidRPr="00BC071B" w14:paraId="6BB130F5" w14:textId="77777777" w:rsidTr="007F2AC4">
        <w:tc>
          <w:tcPr>
            <w:tcW w:w="2335" w:type="dxa"/>
            <w:gridSpan w:val="3"/>
          </w:tcPr>
          <w:p w14:paraId="37DE75E7" w14:textId="77777777" w:rsidR="000E1262" w:rsidRPr="00BC071B" w:rsidRDefault="000E1262" w:rsidP="00FD46B8">
            <w:r w:rsidRPr="00BC071B">
              <w:t>Nancy Espeseth</w:t>
            </w:r>
          </w:p>
        </w:tc>
        <w:tc>
          <w:tcPr>
            <w:tcW w:w="7015" w:type="dxa"/>
          </w:tcPr>
          <w:p w14:paraId="6C5DF5F2" w14:textId="77777777" w:rsidR="000E1262" w:rsidRPr="00BC071B" w:rsidRDefault="000E1262" w:rsidP="00FD46B8">
            <w:r w:rsidRPr="00BC071B">
              <w:t>Center for Hope</w:t>
            </w:r>
          </w:p>
        </w:tc>
      </w:tr>
      <w:tr w:rsidR="000E1262" w:rsidRPr="00BC071B" w14:paraId="33BC724C" w14:textId="77777777" w:rsidTr="007F2AC4">
        <w:tc>
          <w:tcPr>
            <w:tcW w:w="2335" w:type="dxa"/>
            <w:gridSpan w:val="3"/>
          </w:tcPr>
          <w:p w14:paraId="07B02483" w14:textId="77777777" w:rsidR="000E1262" w:rsidRPr="00BC071B" w:rsidRDefault="000E1262" w:rsidP="00FD46B8">
            <w:r w:rsidRPr="00BC071B">
              <w:t>Matt Wimmer</w:t>
            </w:r>
          </w:p>
        </w:tc>
        <w:tc>
          <w:tcPr>
            <w:tcW w:w="7015" w:type="dxa"/>
          </w:tcPr>
          <w:p w14:paraId="0B7572A9" w14:textId="77777777" w:rsidR="000E1262" w:rsidRPr="00BC071B" w:rsidRDefault="000E1262" w:rsidP="00FD46B8">
            <w:r w:rsidRPr="00BC071B">
              <w:t>Idaho Community Health Centers Association</w:t>
            </w:r>
          </w:p>
        </w:tc>
      </w:tr>
      <w:tr w:rsidR="000E1262" w:rsidRPr="00BC071B" w14:paraId="4B809BCF" w14:textId="77777777" w:rsidTr="007F2AC4">
        <w:tc>
          <w:tcPr>
            <w:tcW w:w="2335" w:type="dxa"/>
            <w:gridSpan w:val="3"/>
          </w:tcPr>
          <w:p w14:paraId="5F798A3A" w14:textId="77777777" w:rsidR="000E1262" w:rsidRPr="00BC071B" w:rsidRDefault="000E1262" w:rsidP="00FD46B8">
            <w:r w:rsidRPr="00BC071B">
              <w:t>Amy Welsh</w:t>
            </w:r>
          </w:p>
        </w:tc>
        <w:tc>
          <w:tcPr>
            <w:tcW w:w="7015" w:type="dxa"/>
          </w:tcPr>
          <w:p w14:paraId="54B8AAE3" w14:textId="77777777" w:rsidR="000E1262" w:rsidRPr="00BC071B" w:rsidRDefault="000E1262" w:rsidP="00FD46B8">
            <w:r w:rsidRPr="00BC071B">
              <w:t>Idaho Department of Correction</w:t>
            </w:r>
          </w:p>
        </w:tc>
      </w:tr>
      <w:tr w:rsidR="000E1262" w:rsidRPr="00BC071B" w14:paraId="4F5480F5" w14:textId="77777777" w:rsidTr="007F2AC4">
        <w:tc>
          <w:tcPr>
            <w:tcW w:w="2335" w:type="dxa"/>
            <w:gridSpan w:val="3"/>
          </w:tcPr>
          <w:p w14:paraId="1FE629C5" w14:textId="77777777" w:rsidR="000E1262" w:rsidRPr="00BC071B" w:rsidRDefault="000E1262" w:rsidP="00FD46B8">
            <w:r w:rsidRPr="00BC071B">
              <w:t>Lisa Bayes</w:t>
            </w:r>
          </w:p>
        </w:tc>
        <w:tc>
          <w:tcPr>
            <w:tcW w:w="7015" w:type="dxa"/>
          </w:tcPr>
          <w:p w14:paraId="5BDD2EAD" w14:textId="77777777" w:rsidR="000E1262" w:rsidRPr="00BC071B" w:rsidRDefault="000E1262" w:rsidP="00FD46B8">
            <w:r w:rsidRPr="00BC071B">
              <w:t>Twin Falls Crisis Center</w:t>
            </w:r>
          </w:p>
        </w:tc>
      </w:tr>
      <w:tr w:rsidR="000E1262" w:rsidRPr="00BC071B" w14:paraId="254B06BF" w14:textId="77777777" w:rsidTr="007F2AC4">
        <w:tc>
          <w:tcPr>
            <w:tcW w:w="2335" w:type="dxa"/>
            <w:gridSpan w:val="3"/>
          </w:tcPr>
          <w:p w14:paraId="77E4163C" w14:textId="77777777" w:rsidR="000E1262" w:rsidRPr="00BC071B" w:rsidRDefault="000E1262" w:rsidP="00FD46B8">
            <w:r w:rsidRPr="00BC071B">
              <w:t>Aimee Austin</w:t>
            </w:r>
          </w:p>
        </w:tc>
        <w:tc>
          <w:tcPr>
            <w:tcW w:w="7015" w:type="dxa"/>
          </w:tcPr>
          <w:p w14:paraId="0435F6D5" w14:textId="77777777" w:rsidR="000E1262" w:rsidRPr="00BC071B" w:rsidRDefault="000E1262" w:rsidP="00FD46B8">
            <w:r w:rsidRPr="00BC071B">
              <w:t>Idaho Courts District 7 Treatment Courts</w:t>
            </w:r>
          </w:p>
        </w:tc>
      </w:tr>
      <w:tr w:rsidR="000E1262" w:rsidRPr="00BC071B" w14:paraId="06099EA6" w14:textId="77777777" w:rsidTr="007F2AC4">
        <w:tc>
          <w:tcPr>
            <w:tcW w:w="2335" w:type="dxa"/>
            <w:gridSpan w:val="3"/>
          </w:tcPr>
          <w:p w14:paraId="4A4E9E29" w14:textId="77777777" w:rsidR="000E1262" w:rsidRPr="00BC071B" w:rsidRDefault="000E1262" w:rsidP="00FD46B8">
            <w:r w:rsidRPr="00BC071B">
              <w:lastRenderedPageBreak/>
              <w:t>Amy McKenzie</w:t>
            </w:r>
          </w:p>
        </w:tc>
        <w:tc>
          <w:tcPr>
            <w:tcW w:w="7015" w:type="dxa"/>
          </w:tcPr>
          <w:p w14:paraId="45165D64" w14:textId="77777777" w:rsidR="000E1262" w:rsidRPr="00BC071B" w:rsidRDefault="000E1262" w:rsidP="00FD46B8">
            <w:r w:rsidRPr="00BC071B">
              <w:t>Trivium</w:t>
            </w:r>
          </w:p>
        </w:tc>
      </w:tr>
      <w:tr w:rsidR="000E1262" w:rsidRPr="00BC071B" w14:paraId="1611BE06" w14:textId="77777777" w:rsidTr="007F2AC4">
        <w:tc>
          <w:tcPr>
            <w:tcW w:w="2335" w:type="dxa"/>
            <w:gridSpan w:val="3"/>
          </w:tcPr>
          <w:p w14:paraId="3A17E733" w14:textId="77777777" w:rsidR="000E1262" w:rsidRPr="00BC071B" w:rsidRDefault="000E1262" w:rsidP="00FD46B8">
            <w:r w:rsidRPr="00BC071B">
              <w:t>Mark Renick</w:t>
            </w:r>
          </w:p>
        </w:tc>
        <w:tc>
          <w:tcPr>
            <w:tcW w:w="7015" w:type="dxa"/>
          </w:tcPr>
          <w:p w14:paraId="420D5F67" w14:textId="77777777" w:rsidR="000E1262" w:rsidRPr="00BC071B" w:rsidRDefault="000E1262" w:rsidP="00FD46B8">
            <w:r w:rsidRPr="00BC071B">
              <w:t>St. Vincent de Paul Reentry</w:t>
            </w:r>
          </w:p>
        </w:tc>
      </w:tr>
      <w:tr w:rsidR="000E1262" w:rsidRPr="00BC071B" w14:paraId="2BDC425D" w14:textId="77777777" w:rsidTr="007F2AC4">
        <w:tc>
          <w:tcPr>
            <w:tcW w:w="2335" w:type="dxa"/>
            <w:gridSpan w:val="3"/>
          </w:tcPr>
          <w:p w14:paraId="41B3AA38" w14:textId="77777777" w:rsidR="000E1262" w:rsidRPr="00BC071B" w:rsidRDefault="000E1262" w:rsidP="00FD46B8">
            <w:r w:rsidRPr="00BC071B">
              <w:t>Keri Anderson</w:t>
            </w:r>
          </w:p>
        </w:tc>
        <w:tc>
          <w:tcPr>
            <w:tcW w:w="7015" w:type="dxa"/>
          </w:tcPr>
          <w:p w14:paraId="24960F78" w14:textId="77777777" w:rsidR="000E1262" w:rsidRPr="00BC071B" w:rsidRDefault="000E1262" w:rsidP="00FD46B8">
            <w:r w:rsidRPr="00BC071B">
              <w:t>Ada County Misdemeanor Probation</w:t>
            </w:r>
          </w:p>
        </w:tc>
      </w:tr>
      <w:tr w:rsidR="005C58EB" w:rsidRPr="00BC071B" w14:paraId="0DE0EFDF" w14:textId="77777777" w:rsidTr="007F2AC4">
        <w:tc>
          <w:tcPr>
            <w:tcW w:w="2335" w:type="dxa"/>
            <w:gridSpan w:val="3"/>
          </w:tcPr>
          <w:p w14:paraId="56690695" w14:textId="37D3B94F" w:rsidR="005C58EB" w:rsidRPr="00BC071B" w:rsidRDefault="005C58EB" w:rsidP="00FD46B8">
            <w:r>
              <w:t>Jenny Teigen</w:t>
            </w:r>
          </w:p>
        </w:tc>
        <w:tc>
          <w:tcPr>
            <w:tcW w:w="7015" w:type="dxa"/>
          </w:tcPr>
          <w:p w14:paraId="162E6B8E" w14:textId="405FC586" w:rsidR="005C58EB" w:rsidRPr="00BC071B" w:rsidRDefault="005C58EB" w:rsidP="00FD46B8">
            <w:r>
              <w:t>Riverside Recovery</w:t>
            </w:r>
          </w:p>
        </w:tc>
      </w:tr>
      <w:tr w:rsidR="005C58EB" w:rsidRPr="00BC071B" w14:paraId="3C213F49" w14:textId="77777777" w:rsidTr="007F2AC4">
        <w:tc>
          <w:tcPr>
            <w:tcW w:w="2335" w:type="dxa"/>
            <w:gridSpan w:val="3"/>
          </w:tcPr>
          <w:p w14:paraId="013936DC" w14:textId="0E805A1A" w:rsidR="005C58EB" w:rsidRDefault="005C58EB" w:rsidP="00FD46B8">
            <w:r>
              <w:t>Madison Broome</w:t>
            </w:r>
          </w:p>
        </w:tc>
        <w:tc>
          <w:tcPr>
            <w:tcW w:w="7015" w:type="dxa"/>
          </w:tcPr>
          <w:p w14:paraId="0AFA371E" w14:textId="38E79529" w:rsidR="005C58EB" w:rsidRDefault="00E65B81" w:rsidP="00FD46B8">
            <w:r w:rsidRPr="00BC071B">
              <w:t>Idaho Department of Correction</w:t>
            </w:r>
          </w:p>
        </w:tc>
      </w:tr>
      <w:tr w:rsidR="00E65B81" w:rsidRPr="00BC071B" w14:paraId="4224D669" w14:textId="77777777" w:rsidTr="007F2AC4">
        <w:tc>
          <w:tcPr>
            <w:tcW w:w="2335" w:type="dxa"/>
            <w:gridSpan w:val="3"/>
          </w:tcPr>
          <w:p w14:paraId="2DFBE359" w14:textId="4741F75D" w:rsidR="00E65B81" w:rsidRDefault="00E65B81" w:rsidP="00FD46B8">
            <w:r>
              <w:t>Laura Watson</w:t>
            </w:r>
          </w:p>
        </w:tc>
        <w:tc>
          <w:tcPr>
            <w:tcW w:w="7015" w:type="dxa"/>
          </w:tcPr>
          <w:p w14:paraId="334D939E" w14:textId="330BB61C" w:rsidR="00E65B81" w:rsidRDefault="00E65B81" w:rsidP="00FD46B8">
            <w:r w:rsidRPr="00BC071B">
              <w:t>Idaho Department of Correction</w:t>
            </w:r>
          </w:p>
        </w:tc>
      </w:tr>
      <w:tr w:rsidR="00E65B81" w:rsidRPr="00BC071B" w14:paraId="0592E64B" w14:textId="77777777" w:rsidTr="007F2AC4">
        <w:tc>
          <w:tcPr>
            <w:tcW w:w="2335" w:type="dxa"/>
            <w:gridSpan w:val="3"/>
          </w:tcPr>
          <w:p w14:paraId="4A4606FD" w14:textId="2CC6CE27" w:rsidR="00E65B81" w:rsidRDefault="00E65B81" w:rsidP="00FD46B8">
            <w:r>
              <w:t>Eric Jensen</w:t>
            </w:r>
          </w:p>
        </w:tc>
        <w:tc>
          <w:tcPr>
            <w:tcW w:w="7015" w:type="dxa"/>
          </w:tcPr>
          <w:p w14:paraId="7B870334" w14:textId="2083714C" w:rsidR="00E65B81" w:rsidRPr="00BC071B" w:rsidRDefault="00E65B81" w:rsidP="00FD46B8">
            <w:r>
              <w:t>University of Idaho</w:t>
            </w:r>
          </w:p>
        </w:tc>
      </w:tr>
      <w:tr w:rsidR="00E65B81" w:rsidRPr="00BC071B" w14:paraId="69B75A03" w14:textId="77777777" w:rsidTr="007F2AC4">
        <w:tc>
          <w:tcPr>
            <w:tcW w:w="2335" w:type="dxa"/>
            <w:gridSpan w:val="3"/>
          </w:tcPr>
          <w:p w14:paraId="56C0299C" w14:textId="440D2954" w:rsidR="00E65B81" w:rsidRDefault="00E65B81" w:rsidP="00FD46B8">
            <w:r>
              <w:t>Jaquelyn Lee</w:t>
            </w:r>
          </w:p>
        </w:tc>
        <w:tc>
          <w:tcPr>
            <w:tcW w:w="7015" w:type="dxa"/>
          </w:tcPr>
          <w:p w14:paraId="25091D57" w14:textId="3E21C379" w:rsidR="00E65B81" w:rsidRDefault="00E65B81" w:rsidP="00FD46B8">
            <w:r>
              <w:t>Boise State University</w:t>
            </w:r>
          </w:p>
        </w:tc>
      </w:tr>
      <w:tr w:rsidR="00E65B81" w:rsidRPr="00BC071B" w14:paraId="20A55A98" w14:textId="77777777" w:rsidTr="007F2AC4">
        <w:tc>
          <w:tcPr>
            <w:tcW w:w="2335" w:type="dxa"/>
            <w:gridSpan w:val="3"/>
          </w:tcPr>
          <w:p w14:paraId="3A155D18" w14:textId="7C910624" w:rsidR="00E65B81" w:rsidRDefault="00E65B81" w:rsidP="00FD46B8">
            <w:r>
              <w:t>Sam Mauk</w:t>
            </w:r>
          </w:p>
        </w:tc>
        <w:tc>
          <w:tcPr>
            <w:tcW w:w="7015" w:type="dxa"/>
          </w:tcPr>
          <w:p w14:paraId="60A12215" w14:textId="7D50B29F" w:rsidR="00E65B81" w:rsidRDefault="00E65B81" w:rsidP="00FD46B8">
            <w:r>
              <w:t>Human Supports of Idaho</w:t>
            </w:r>
          </w:p>
        </w:tc>
      </w:tr>
      <w:tr w:rsidR="00E65B81" w:rsidRPr="00BC071B" w14:paraId="20F9709C" w14:textId="77777777" w:rsidTr="007F2AC4">
        <w:tc>
          <w:tcPr>
            <w:tcW w:w="2335" w:type="dxa"/>
            <w:gridSpan w:val="3"/>
          </w:tcPr>
          <w:p w14:paraId="60DDA0BC" w14:textId="17CFF31E" w:rsidR="00E65B81" w:rsidRDefault="00E65B81" w:rsidP="00FD46B8">
            <w:r>
              <w:t>David Tovar</w:t>
            </w:r>
          </w:p>
        </w:tc>
        <w:tc>
          <w:tcPr>
            <w:tcW w:w="7015" w:type="dxa"/>
          </w:tcPr>
          <w:p w14:paraId="316C40A9" w14:textId="34CFA3E9" w:rsidR="00E65B81" w:rsidRDefault="00E65B81" w:rsidP="00FD46B8">
            <w:r>
              <w:t>Magellan of Idaho</w:t>
            </w:r>
          </w:p>
        </w:tc>
      </w:tr>
      <w:tr w:rsidR="00E65B81" w:rsidRPr="00BC071B" w14:paraId="2AF40990" w14:textId="77777777" w:rsidTr="007F2AC4">
        <w:tc>
          <w:tcPr>
            <w:tcW w:w="2335" w:type="dxa"/>
            <w:gridSpan w:val="3"/>
          </w:tcPr>
          <w:p w14:paraId="4A5018DC" w14:textId="3DB77C29" w:rsidR="00E65B81" w:rsidRDefault="00E65B81" w:rsidP="00FD46B8">
            <w:r>
              <w:t>Norma Sands</w:t>
            </w:r>
          </w:p>
        </w:tc>
        <w:tc>
          <w:tcPr>
            <w:tcW w:w="7015" w:type="dxa"/>
          </w:tcPr>
          <w:p w14:paraId="7DD68D34" w14:textId="1CB10E1D" w:rsidR="00E65B81" w:rsidRDefault="00E65B81" w:rsidP="00FD46B8">
            <w:r>
              <w:t>Idaho Commission for Pardons and Parole</w:t>
            </w:r>
          </w:p>
        </w:tc>
      </w:tr>
      <w:tr w:rsidR="007F2AC4" w14:paraId="38CCDDE2" w14:textId="77777777" w:rsidTr="0046257C">
        <w:tc>
          <w:tcPr>
            <w:tcW w:w="9350" w:type="dxa"/>
            <w:gridSpan w:val="4"/>
            <w:shd w:val="clear" w:color="auto" w:fill="B3E5A1" w:themeFill="accent6" w:themeFillTint="66"/>
          </w:tcPr>
          <w:p w14:paraId="3BEAC679" w14:textId="1DEFC201" w:rsidR="007F2AC4" w:rsidRDefault="005C58EB" w:rsidP="007F2AC4">
            <w:pPr>
              <w:jc w:val="center"/>
            </w:pPr>
            <w:r w:rsidRPr="007F2AC4">
              <w:rPr>
                <w:b/>
                <w:bCs/>
                <w:sz w:val="28"/>
                <w:szCs w:val="28"/>
              </w:rPr>
              <w:t>ADMINISTRATION</w:t>
            </w:r>
          </w:p>
        </w:tc>
      </w:tr>
      <w:tr w:rsidR="00BC00E1" w14:paraId="3F935C58" w14:textId="77777777" w:rsidTr="007F2AC4">
        <w:tc>
          <w:tcPr>
            <w:tcW w:w="2335" w:type="dxa"/>
            <w:gridSpan w:val="3"/>
            <w:shd w:val="clear" w:color="auto" w:fill="B3E5A1" w:themeFill="accent6" w:themeFillTint="66"/>
          </w:tcPr>
          <w:p w14:paraId="2668FD59" w14:textId="77777777" w:rsidR="00BC00E1" w:rsidRPr="007F2AC4" w:rsidRDefault="007F2AC4" w:rsidP="00FD46B8">
            <w:pPr>
              <w:rPr>
                <w:b/>
                <w:bCs/>
              </w:rPr>
            </w:pPr>
            <w:r w:rsidRPr="007F2AC4">
              <w:rPr>
                <w:b/>
                <w:bCs/>
              </w:rPr>
              <w:t>Meeting Cadence</w:t>
            </w:r>
          </w:p>
        </w:tc>
        <w:tc>
          <w:tcPr>
            <w:tcW w:w="7015" w:type="dxa"/>
          </w:tcPr>
          <w:p w14:paraId="24CBF56F" w14:textId="0909A165" w:rsidR="00BC00E1" w:rsidRDefault="005C58EB" w:rsidP="00FD46B8">
            <w:r>
              <w:t>Quarterly on the last Wednesday of the month at 9 am MT</w:t>
            </w:r>
          </w:p>
        </w:tc>
      </w:tr>
      <w:tr w:rsidR="00BC00E1" w14:paraId="4AE4449C" w14:textId="77777777" w:rsidTr="007F2AC4">
        <w:tc>
          <w:tcPr>
            <w:tcW w:w="2335" w:type="dxa"/>
            <w:gridSpan w:val="3"/>
            <w:shd w:val="clear" w:color="auto" w:fill="B3E5A1" w:themeFill="accent6" w:themeFillTint="66"/>
          </w:tcPr>
          <w:p w14:paraId="134A7E94" w14:textId="64A12ED6" w:rsidR="007F2AC4" w:rsidRPr="007F2AC4" w:rsidRDefault="005C58EB" w:rsidP="00FD46B8">
            <w:pPr>
              <w:rPr>
                <w:b/>
                <w:bCs/>
              </w:rPr>
            </w:pPr>
            <w:r>
              <w:rPr>
                <w:b/>
                <w:bCs/>
              </w:rPr>
              <w:t>Communication</w:t>
            </w:r>
          </w:p>
        </w:tc>
        <w:tc>
          <w:tcPr>
            <w:tcW w:w="7015" w:type="dxa"/>
          </w:tcPr>
          <w:p w14:paraId="2BE6A8BE" w14:textId="13F6AB00" w:rsidR="00BC00E1" w:rsidRDefault="005C58EB" w:rsidP="00FD46B8">
            <w:r>
              <w:t>Monthly communication from the workgroups</w:t>
            </w:r>
          </w:p>
        </w:tc>
      </w:tr>
      <w:tr w:rsidR="00BC00E1" w14:paraId="203D9DB2" w14:textId="77777777" w:rsidTr="007F2AC4">
        <w:tc>
          <w:tcPr>
            <w:tcW w:w="2335" w:type="dxa"/>
            <w:gridSpan w:val="3"/>
            <w:shd w:val="clear" w:color="auto" w:fill="B3E5A1" w:themeFill="accent6" w:themeFillTint="66"/>
          </w:tcPr>
          <w:p w14:paraId="3228E85E" w14:textId="007F3955" w:rsidR="00BC00E1" w:rsidRPr="007F2AC4" w:rsidRDefault="005C58EB" w:rsidP="00FD46B8">
            <w:pPr>
              <w:rPr>
                <w:b/>
                <w:bCs/>
              </w:rPr>
            </w:pPr>
            <w:r>
              <w:rPr>
                <w:b/>
                <w:bCs/>
              </w:rPr>
              <w:t>Amendment Process</w:t>
            </w:r>
          </w:p>
        </w:tc>
        <w:tc>
          <w:tcPr>
            <w:tcW w:w="7015" w:type="dxa"/>
          </w:tcPr>
          <w:p w14:paraId="666733DD" w14:textId="6B9CFA79" w:rsidR="00BC00E1" w:rsidRDefault="005C58EB" w:rsidP="00FD46B8">
            <w:r>
              <w:t>Amendments will be approved by the majority of the implementation team</w:t>
            </w:r>
          </w:p>
        </w:tc>
      </w:tr>
      <w:tr w:rsidR="005C58EB" w14:paraId="65798BC1" w14:textId="77777777" w:rsidTr="007F2AC4">
        <w:tc>
          <w:tcPr>
            <w:tcW w:w="2335" w:type="dxa"/>
            <w:gridSpan w:val="3"/>
            <w:shd w:val="clear" w:color="auto" w:fill="B3E5A1" w:themeFill="accent6" w:themeFillTint="66"/>
          </w:tcPr>
          <w:p w14:paraId="3AA20EDC" w14:textId="2027F9A9" w:rsidR="005C58EB" w:rsidRPr="007F2AC4" w:rsidRDefault="005C58EB" w:rsidP="00FD46B8">
            <w:pPr>
              <w:rPr>
                <w:b/>
                <w:bCs/>
              </w:rPr>
            </w:pPr>
            <w:r>
              <w:rPr>
                <w:b/>
                <w:bCs/>
              </w:rPr>
              <w:t>Dates Amended</w:t>
            </w:r>
          </w:p>
        </w:tc>
        <w:tc>
          <w:tcPr>
            <w:tcW w:w="7015" w:type="dxa"/>
          </w:tcPr>
          <w:p w14:paraId="7620DADF" w14:textId="77777777" w:rsidR="005C58EB" w:rsidRDefault="005C58EB" w:rsidP="00FD46B8"/>
        </w:tc>
      </w:tr>
    </w:tbl>
    <w:p w14:paraId="76D78B87" w14:textId="77777777" w:rsidR="00C947C7" w:rsidRPr="00C947C7" w:rsidRDefault="00C947C7" w:rsidP="0046257C"/>
    <w:sectPr w:rsidR="00C947C7" w:rsidRPr="00C947C7" w:rsidSect="00A32BF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2544" w14:textId="77777777" w:rsidR="006D7AAD" w:rsidRDefault="006D7AAD" w:rsidP="00A32BF9">
      <w:pPr>
        <w:spacing w:after="0" w:line="240" w:lineRule="auto"/>
      </w:pPr>
      <w:r>
        <w:separator/>
      </w:r>
    </w:p>
  </w:endnote>
  <w:endnote w:type="continuationSeparator" w:id="0">
    <w:p w14:paraId="1EEAF9F5" w14:textId="77777777" w:rsidR="006D7AAD" w:rsidRDefault="006D7AAD"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436F" w14:textId="77777777" w:rsidR="006D7AAD" w:rsidRDefault="006D7AAD" w:rsidP="00A32BF9">
      <w:pPr>
        <w:spacing w:after="0" w:line="240" w:lineRule="auto"/>
      </w:pPr>
      <w:r>
        <w:separator/>
      </w:r>
    </w:p>
  </w:footnote>
  <w:footnote w:type="continuationSeparator" w:id="0">
    <w:p w14:paraId="051D6BC5" w14:textId="77777777" w:rsidR="006D7AAD" w:rsidRDefault="006D7AAD"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5B92" w14:textId="77777777" w:rsidR="00A32BF9" w:rsidRDefault="00A32BF9" w:rsidP="00A32BF9">
    <w:pPr>
      <w:pStyle w:val="Header"/>
      <w:jc w:val="right"/>
      <w:rPr>
        <w:b/>
        <w:bCs/>
        <w:sz w:val="44"/>
        <w:szCs w:val="44"/>
      </w:rPr>
    </w:pPr>
  </w:p>
  <w:p w14:paraId="439E998D" w14:textId="77777777"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600E" w14:textId="77777777" w:rsidR="00A32BF9" w:rsidRDefault="00A32BF9" w:rsidP="00A32BF9">
    <w:pPr>
      <w:pStyle w:val="Header"/>
      <w:jc w:val="right"/>
      <w:rPr>
        <w:b/>
        <w:bCs/>
        <w:sz w:val="44"/>
        <w:szCs w:val="44"/>
      </w:rPr>
    </w:pPr>
    <w:r>
      <w:rPr>
        <w:b/>
        <w:bCs/>
        <w:noProof/>
      </w:rPr>
      <w:drawing>
        <wp:anchor distT="0" distB="0" distL="114300" distR="114300" simplePos="0" relativeHeight="251661312" behindDoc="0" locked="0" layoutInCell="1" allowOverlap="1" wp14:anchorId="41447C77" wp14:editId="7B67AE54">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72BE236"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49920563"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1"/>
  </w:num>
  <w:num w:numId="2" w16cid:durableId="6285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EB"/>
    <w:rsid w:val="00014FDE"/>
    <w:rsid w:val="00036D51"/>
    <w:rsid w:val="000E1262"/>
    <w:rsid w:val="0018229E"/>
    <w:rsid w:val="002F07DE"/>
    <w:rsid w:val="003262DC"/>
    <w:rsid w:val="003329E3"/>
    <w:rsid w:val="0036352B"/>
    <w:rsid w:val="00426632"/>
    <w:rsid w:val="0046257C"/>
    <w:rsid w:val="004679A8"/>
    <w:rsid w:val="005C58EB"/>
    <w:rsid w:val="006D7AAD"/>
    <w:rsid w:val="006E3F8D"/>
    <w:rsid w:val="007F2AC4"/>
    <w:rsid w:val="00A32BF9"/>
    <w:rsid w:val="00A51BB8"/>
    <w:rsid w:val="00BC00E1"/>
    <w:rsid w:val="00C947C7"/>
    <w:rsid w:val="00DB4A16"/>
    <w:rsid w:val="00E26DFB"/>
    <w:rsid w:val="00E5309A"/>
    <w:rsid w:val="00E65B81"/>
    <w:rsid w:val="00F526BD"/>
    <w:rsid w:val="00F82A8D"/>
    <w:rsid w:val="00F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6699"/>
  <w15:chartTrackingRefBased/>
  <w15:docId w15:val="{85ED304B-AB53-4EEE-9FA9-88DBD863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E473B-62ED-46B0-B7A0-B41DDBBA211F}">
  <ds:schemaRefs>
    <ds:schemaRef ds:uri="http://schemas.microsoft.com/sharepoint/v3/contenttype/forms"/>
  </ds:schemaRefs>
</ds:datastoreItem>
</file>

<file path=customXml/itemProps2.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2</cp:revision>
  <dcterms:created xsi:type="dcterms:W3CDTF">2025-04-10T20:31:00Z</dcterms:created>
  <dcterms:modified xsi:type="dcterms:W3CDTF">2025-06-19T22:42:00Z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ies>
</file>